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YouTube: ANC3G 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Vice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3/4G-03 - Randy Speck, 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Agenda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February 28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Join Video Meeting at https://us02web.zoom.us/j/85278442454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Dial-in number (301) 715-8592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Webinar ID: 852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7844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2454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7:05</w:t>
        <w:tab/>
        <w:t>Commissioner Announcements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7:15</w:t>
        <w:tab/>
        <w:t>Community Announcements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30</w:t>
      </w:r>
      <w:r>
        <w:rPr>
          <w:rStyle w:val="None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rtl w:val="0"/>
          <w:lang w:val="en-US"/>
        </w:rPr>
        <w:t xml:space="preserve">Discussion and possible vote on public space permit application for a bay window projection in public space at 5600 32nd Street, NW (Tracking No. </w:t>
      </w:r>
      <w:r>
        <w:rPr>
          <w:rStyle w:val="None"/>
          <w:sz w:val="26"/>
          <w:szCs w:val="26"/>
          <w:rtl w:val="0"/>
          <w:lang w:val="en-US"/>
        </w:rPr>
        <w:t>384864</w:t>
      </w:r>
      <w:r>
        <w:rPr>
          <w:rStyle w:val="None"/>
          <w:sz w:val="26"/>
          <w:szCs w:val="26"/>
          <w:rtl w:val="0"/>
          <w:lang w:val="en-US"/>
        </w:rPr>
        <w:t>) (Commissioner Zeldin)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7:50</w:t>
        <w:tab/>
        <w:t>Presentations by and discussions with the Ward 3 and Ward 4 redistricting Task Forces (Commissioner Speck)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rStyle w:val="None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lang w:val="en-US"/>
        </w:rPr>
        <w:tab/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</w:t>
      </w:r>
      <w:r>
        <w:rPr>
          <w:rStyle w:val="None"/>
          <w:sz w:val="26"/>
          <w:szCs w:val="26"/>
          <w:rtl w:val="0"/>
          <w:lang w:val="en-US"/>
        </w:rPr>
        <w:t>10</w:t>
      </w:r>
      <w:r>
        <w:rPr>
          <w:rStyle w:val="None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rtl w:val="0"/>
          <w:lang w:val="en-US"/>
        </w:rPr>
        <w:t xml:space="preserve">Discussion among Commissioners and vote on draft resolution and proposed conditions for </w:t>
      </w:r>
      <w:r>
        <w:rPr>
          <w:rStyle w:val="None"/>
          <w:sz w:val="26"/>
          <w:szCs w:val="26"/>
          <w:rtl w:val="0"/>
          <w:lang w:val="en-US"/>
        </w:rPr>
        <w:t>Maret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Board of Zoning Adjustment application (Case No.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"https://anc3g.org/wp-content/uploads/2021/11/The-Maret-School-Special-Exception-Application-Nov-1-2021.pdf"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20643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to build sports fields at the Episcopal Center</w:t>
      </w:r>
      <w:r>
        <w:rPr>
          <w:rStyle w:val="None"/>
          <w:sz w:val="26"/>
          <w:szCs w:val="26"/>
          <w:rtl w:val="0"/>
          <w:lang w:val="en-US"/>
        </w:rPr>
        <w:t xml:space="preserve"> for Children (Commissioners Higgins and 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8:25</w:t>
        <w:tab/>
      </w:r>
      <w:r>
        <w:rPr>
          <w:rStyle w:val="None"/>
          <w:sz w:val="26"/>
          <w:szCs w:val="26"/>
          <w:rtl w:val="0"/>
          <w:lang w:val="en-US"/>
        </w:rPr>
        <w:t>Report on the Small Area Plan process (Commissioners Chang and Gosselin)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</w:t>
      </w:r>
      <w:r>
        <w:rPr>
          <w:rStyle w:val="None"/>
          <w:sz w:val="26"/>
          <w:szCs w:val="26"/>
          <w:rtl w:val="0"/>
          <w:lang w:val="en-US"/>
        </w:rPr>
        <w:t>45</w:t>
      </w:r>
      <w:r>
        <w:rPr>
          <w:rStyle w:val="None"/>
          <w:sz w:val="26"/>
          <w:szCs w:val="26"/>
          <w:rtl w:val="0"/>
          <w:lang w:val="en-US"/>
        </w:rPr>
        <w:tab/>
        <w:t>Report on the Racial and Social Equity Standing Committee (Commissioners Gore and Speck)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8:50</w:t>
      </w:r>
      <w:r>
        <w:rPr>
          <w:rStyle w:val="None"/>
          <w:sz w:val="26"/>
          <w:szCs w:val="26"/>
          <w:rtl w:val="0"/>
          <w:lang w:val="en-US"/>
        </w:rPr>
        <w:tab/>
        <w:t>Discussion and possible vote on testimony at the Council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oversight hearings for</w:t>
      </w:r>
      <w:r>
        <w:rPr>
          <w:rStyle w:val="None"/>
          <w:sz w:val="26"/>
          <w:szCs w:val="26"/>
          <w:rtl w:val="0"/>
          <w:lang w:val="en-US"/>
        </w:rPr>
        <w:t xml:space="preserve"> District of Columbia Public Schools (Commissioner Zeldin)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9:00</w:t>
        <w:tab/>
        <w:t xml:space="preserve">Discussion and possible vote on resolution or testimony regarding the proposed </w:t>
      </w:r>
      <w:r>
        <w:rPr>
          <w:rStyle w:val="None"/>
          <w:sz w:val="26"/>
          <w:szCs w:val="26"/>
          <w:rtl w:val="0"/>
          <w:lang w:val="en-US"/>
        </w:rPr>
        <w:t>“</w:t>
      </w:r>
      <w:r>
        <w:rPr>
          <w:rStyle w:val="None"/>
          <w:sz w:val="26"/>
          <w:szCs w:val="26"/>
          <w:rtl w:val="0"/>
          <w:lang w:val="en-US"/>
        </w:rPr>
        <w:t>Safe Routes to School Expansion Regulation Amendment Act</w:t>
      </w:r>
      <w:r>
        <w:rPr>
          <w:rStyle w:val="None"/>
          <w:sz w:val="26"/>
          <w:szCs w:val="26"/>
          <w:rtl w:val="0"/>
          <w:lang w:val="en-US"/>
        </w:rPr>
        <w:t xml:space="preserve">” </w:t>
      </w:r>
      <w:r>
        <w:rPr>
          <w:rStyle w:val="None"/>
          <w:sz w:val="26"/>
          <w:szCs w:val="26"/>
          <w:rtl w:val="0"/>
          <w:lang w:val="en-US"/>
        </w:rPr>
        <w:t>(</w:t>
      </w: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"https://lims.dccouncil.us/downloads/LIMS/48449/Introduction/B24-0565-Introduction.pdf"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  <w:lang w:val="en-US"/>
        </w:rPr>
        <w:t>B24-0565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) and the </w:t>
      </w:r>
      <w:r>
        <w:rPr>
          <w:rStyle w:val="None"/>
          <w:sz w:val="26"/>
          <w:szCs w:val="26"/>
          <w:rtl w:val="0"/>
          <w:lang w:val="en-US"/>
        </w:rPr>
        <w:t>“</w:t>
      </w:r>
      <w:r>
        <w:rPr>
          <w:rStyle w:val="None"/>
          <w:sz w:val="26"/>
          <w:szCs w:val="26"/>
          <w:rtl w:val="0"/>
          <w:lang w:val="en-US"/>
        </w:rPr>
        <w:t>Walk Without Worry Amendment Act</w:t>
      </w:r>
      <w:r>
        <w:rPr>
          <w:rStyle w:val="None"/>
          <w:sz w:val="26"/>
          <w:szCs w:val="26"/>
          <w:rtl w:val="0"/>
          <w:lang w:val="en-US"/>
        </w:rPr>
        <w:t xml:space="preserve">” </w:t>
      </w:r>
      <w:r>
        <w:rPr>
          <w:rStyle w:val="None"/>
          <w:sz w:val="26"/>
          <w:szCs w:val="26"/>
          <w:rtl w:val="0"/>
          <w:lang w:val="en-US"/>
        </w:rPr>
        <w:t>(</w:t>
      </w: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"https://lims.dccouncil.us/downloads/LIMS/48450/Introduction/B24-0566-Introduction.pdf"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  <w:lang w:val="en-US"/>
        </w:rPr>
        <w:t>B24-0566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(Commissioner Chang)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9:10</w:t>
      </w:r>
      <w:r>
        <w:rPr>
          <w:rStyle w:val="None"/>
          <w:sz w:val="26"/>
          <w:szCs w:val="26"/>
          <w:rtl w:val="0"/>
          <w:lang w:val="en-US"/>
        </w:rPr>
        <w:t xml:space="preserve">   Commission Business:</w:t>
      </w:r>
    </w:p>
    <w:p>
      <w:pPr>
        <w:pStyle w:val="Default"/>
        <w:spacing w:before="0"/>
        <w:ind w:left="1440" w:hanging="1440"/>
        <w:rPr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 xml:space="preserve">Minutes: </w:t>
      </w:r>
      <w:r>
        <w:rPr>
          <w:rStyle w:val="None"/>
          <w:sz w:val="26"/>
          <w:szCs w:val="26"/>
          <w:rtl w:val="0"/>
          <w:lang w:val="en-US"/>
        </w:rPr>
        <w:t>February 14</w:t>
      </w:r>
      <w:r>
        <w:rPr>
          <w:rStyle w:val="None"/>
          <w:sz w:val="26"/>
          <w:szCs w:val="26"/>
          <w:rtl w:val="0"/>
          <w:lang w:val="en-US"/>
        </w:rPr>
        <w:t>, 2022</w:t>
      </w:r>
      <w:r>
        <w:rPr>
          <w:rStyle w:val="None"/>
          <w:sz w:val="26"/>
          <w:szCs w:val="26"/>
          <w:rtl w:val="0"/>
          <w:lang w:val="en-US"/>
        </w:rPr>
        <w:t>, February 16, 2022, and February 24, 2022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 xml:space="preserve">Checks: 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3.</w:t>
        <w:tab/>
        <w:t xml:space="preserve">Possible items for </w:t>
      </w:r>
      <w:r>
        <w:rPr>
          <w:rStyle w:val="None"/>
          <w:sz w:val="26"/>
          <w:szCs w:val="26"/>
          <w:rtl w:val="0"/>
          <w:lang w:val="en-US"/>
        </w:rPr>
        <w:t>March 14</w:t>
      </w:r>
      <w:r>
        <w:rPr>
          <w:rStyle w:val="None"/>
          <w:sz w:val="26"/>
          <w:szCs w:val="26"/>
          <w:rtl w:val="0"/>
          <w:lang w:val="en-US"/>
        </w:rPr>
        <w:t>, 2022 meeting: report on Small Area Plan process; report on the Racial and Social Equity Standing Committee;</w:t>
      </w:r>
      <w:r>
        <w:rPr>
          <w:rStyle w:val="None"/>
          <w:sz w:val="26"/>
          <w:szCs w:val="26"/>
          <w:rtl w:val="0"/>
          <w:lang w:val="en-US"/>
        </w:rPr>
        <w:t xml:space="preserve"> presentations by and discussion with the chairs of the Lafayette Elementary School Local School Advisory Team (LSAT); presentation by and discussion with </w:t>
      </w:r>
      <w:r>
        <w:rPr>
          <w:rStyle w:val="None"/>
          <w:sz w:val="26"/>
          <w:szCs w:val="26"/>
          <w:rtl w:val="0"/>
          <w:lang w:val="en-US"/>
        </w:rPr>
        <w:t>Aaron Marrs, chairman for the Boy Scouts of America in Washington, D</w:t>
      </w:r>
      <w:r>
        <w:rPr>
          <w:rStyle w:val="None"/>
          <w:sz w:val="26"/>
          <w:szCs w:val="26"/>
          <w:rtl w:val="0"/>
          <w:lang w:val="en-US"/>
        </w:rPr>
        <w:t>C, on s</w:t>
      </w:r>
      <w:r>
        <w:rPr>
          <w:rStyle w:val="None"/>
          <w:sz w:val="26"/>
          <w:szCs w:val="26"/>
          <w:rtl w:val="0"/>
          <w:lang w:val="en-US"/>
        </w:rPr>
        <w:t>couting's impact on the community</w:t>
      </w:r>
      <w:r>
        <w:rPr>
          <w:rStyle w:val="None"/>
          <w:sz w:val="26"/>
          <w:szCs w:val="26"/>
          <w:rtl w:val="0"/>
          <w:lang w:val="en-US"/>
        </w:rPr>
        <w:t>; discussion and possible vote on testimony at Council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budget hearings on the Office of Advisory Neighborhood Commissions, Department of Aging and Community Living, Office of Planning, Department of Buildings, and District of Columbia Public Schools; discussion and possible vote on public space permit application by the National Park Service for a wayside exhibit at 1 Chevy Chase Circle to put the history of the Circle in context (Tracking No. </w:t>
      </w:r>
      <w:r>
        <w:rPr>
          <w:rStyle w:val="None"/>
          <w:sz w:val="26"/>
          <w:szCs w:val="26"/>
          <w:rtl w:val="0"/>
          <w:lang w:val="en-US"/>
        </w:rPr>
        <w:t>388740</w:t>
      </w:r>
      <w:r>
        <w:rPr>
          <w:rStyle w:val="None"/>
          <w:sz w:val="26"/>
          <w:szCs w:val="26"/>
          <w:rtl w:val="0"/>
          <w:lang w:val="en-US"/>
        </w:rPr>
        <w:t>); d</w:t>
      </w:r>
      <w:r>
        <w:rPr>
          <w:rStyle w:val="None"/>
          <w:sz w:val="26"/>
          <w:szCs w:val="26"/>
          <w:rtl w:val="0"/>
          <w:lang w:val="en-US"/>
        </w:rPr>
        <w:t xml:space="preserve">iscussion and possible vote on development plans for the Lisner-Louise-Dickson-Hurt Home at 5425 Western Avenue, NW (Zoning Case No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"https://app.dcoz.dc.gov/CaseReport/CaseReportPage.aspx?case_id=21-11"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21-11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"mailto:3G@anc.dc.gov"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3G@anc.dc.gov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sz w:val="26"/>
          <w:szCs w:val="26"/>
          <w:lang w:val="en-US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"mailto:3G03@anc.dc.gov"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u w:val="single"/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u w:val="singl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