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center"/>
        <w:rPr>
          <w:rFonts w:ascii="Arial" w:hAnsi="Arial"/>
          <w:b w:val="1"/>
          <w:bCs w:val="1"/>
          <w:u w:color="000000"/>
          <w14:textOutline w14:w="12700" w14:cap="flat">
            <w14:noFill/>
            <w14:miter w14:lim="400000"/>
          </w14:textOutline>
        </w:rPr>
      </w:pPr>
      <w:r>
        <w:rPr>
          <w:rFonts w:ascii="Arial" w:hAnsi="Arial"/>
          <w:b w:val="1"/>
          <w:bCs w:val="1"/>
          <w:u w:color="000000"/>
          <w:lang w:val="en-US"/>
          <w14:textOutline w14:w="12700" w14:cap="flat">
            <w14:noFill/>
            <w14:miter w14:lim="400000"/>
          </w14:textOutline>
        </w:rPr>
        <w:drawing xmlns:a="http://schemas.openxmlformats.org/drawingml/2006/main">
          <wp:inline distT="0" distB="0" distL="0" distR="0">
            <wp:extent cx="990600" cy="766936"/>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990600" cy="766936"/>
                    </a:xfrm>
                    <a:prstGeom prst="rect">
                      <a:avLst/>
                    </a:prstGeom>
                    <a:ln w="12700" cap="flat">
                      <a:noFill/>
                      <a:miter lim="400000"/>
                    </a:ln>
                    <a:effectLst/>
                  </pic:spPr>
                </pic:pic>
              </a:graphicData>
            </a:graphic>
          </wp:inline>
        </w:drawing>
      </w:r>
    </w:p>
    <w:p>
      <w:pPr>
        <w:pStyle w:val="Default"/>
        <w:spacing w:before="0"/>
        <w:jc w:val="center"/>
        <w:rPr>
          <w:rFonts w:ascii="Arial" w:hAnsi="Arial"/>
          <w:b w:val="1"/>
          <w:bCs w:val="1"/>
          <w:u w:color="000000"/>
          <w:lang w:val="en-US"/>
          <w14:textOutline w14:w="12700" w14:cap="flat">
            <w14:noFill/>
            <w14:miter w14:lim="400000"/>
          </w14:textOutline>
        </w:rPr>
      </w:pPr>
    </w:p>
    <w:p>
      <w:pPr>
        <w:pStyle w:val="Default"/>
        <w:spacing w:before="0" w:after="40"/>
        <w:jc w:val="center"/>
        <w:rPr>
          <w:rFonts w:ascii="Arial" w:cs="Arial" w:hAnsi="Arial" w:eastAsia="Arial"/>
          <w:b w:val="1"/>
          <w:bCs w:val="1"/>
          <w:u w:color="000000"/>
          <w14:textOutline w14:w="12700" w14:cap="flat">
            <w14:noFill/>
            <w14:miter w14:lim="400000"/>
          </w14:textOutline>
        </w:rPr>
      </w:pPr>
      <w:r>
        <w:rPr>
          <w:rFonts w:ascii="Arial" w:hAnsi="Arial"/>
          <w:b w:val="1"/>
          <w:bCs w:val="1"/>
          <w:u w:color="000000"/>
          <w:rtl w:val="0"/>
          <w:lang w:val="en-US"/>
          <w14:textOutline w14:w="12700" w14:cap="flat">
            <w14:noFill/>
            <w14:miter w14:lim="400000"/>
          </w14:textOutline>
        </w:rPr>
        <w:t>Government of the District of Columbia</w:t>
      </w:r>
    </w:p>
    <w:p>
      <w:pPr>
        <w:pStyle w:val="Default"/>
        <w:spacing w:before="0" w:after="60"/>
        <w:jc w:val="center"/>
        <w:rPr>
          <w:rFonts w:ascii="Arial" w:cs="Arial" w:hAnsi="Arial" w:eastAsia="Arial"/>
          <w:b w:val="1"/>
          <w:bCs w:val="1"/>
          <w:sz w:val="32"/>
          <w:szCs w:val="32"/>
          <w:u w:color="000000"/>
          <w14:textOutline w14:w="12700" w14:cap="flat">
            <w14:noFill/>
            <w14:miter w14:lim="400000"/>
          </w14:textOutline>
        </w:rPr>
      </w:pPr>
      <w:r>
        <w:rPr>
          <w:rFonts w:ascii="Arial" w:hAnsi="Arial"/>
          <w:b w:val="1"/>
          <w:bCs w:val="1"/>
          <w:sz w:val="32"/>
          <w:szCs w:val="32"/>
          <w:u w:color="000000"/>
          <w:rtl w:val="0"/>
          <w:lang w:val="en-US"/>
          <w14:textOutline w14:w="12700" w14:cap="flat">
            <w14:noFill/>
            <w14:miter w14:lim="400000"/>
          </w14:textOutline>
        </w:rPr>
        <w:t>ADVISORY</w:t>
      </w:r>
      <w:r>
        <w:rPr>
          <w:rFonts w:ascii="Arial" w:hAnsi="Arial"/>
          <w:b w:val="1"/>
          <w:bCs w:val="1"/>
          <w:sz w:val="32"/>
          <w:szCs w:val="32"/>
          <w:u w:color="000000"/>
          <w:rtl w:val="0"/>
          <w:lang w:val="es-ES_tradnl"/>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NEIGHBORHOOD COMMISSION</w:t>
      </w:r>
      <w:r>
        <w:rPr>
          <w:rFonts w:ascii="Arial" w:hAnsi="Arial"/>
          <w:b w:val="1"/>
          <w:bCs w:val="1"/>
          <w:sz w:val="32"/>
          <w:szCs w:val="32"/>
          <w:u w:color="000000"/>
          <w:rtl w:val="0"/>
          <w:lang w:val="de-DE"/>
          <w14:textOutline w14:w="12700" w14:cap="flat">
            <w14:noFill/>
            <w14:miter w14:lim="400000"/>
          </w14:textOutline>
        </w:rPr>
        <w:t xml:space="preserve"> </w:t>
      </w:r>
      <w:r>
        <w:rPr>
          <w:rFonts w:ascii="Arial" w:hAnsi="Arial"/>
          <w:b w:val="1"/>
          <w:bCs w:val="1"/>
          <w:sz w:val="32"/>
          <w:szCs w:val="32"/>
          <w:u w:color="000000"/>
          <w:rtl w:val="0"/>
          <w:lang w:val="en-US"/>
          <w14:textOutline w14:w="12700" w14:cap="flat">
            <w14:noFill/>
            <w14:miter w14:lim="400000"/>
          </w14:textOutline>
        </w:rPr>
        <w:t xml:space="preserve">3/4G  </w:t>
      </w:r>
    </w:p>
    <w:p>
      <w:pPr>
        <w:pStyle w:val="Default"/>
        <w:spacing w:before="0" w:after="80"/>
        <w:jc w:val="center"/>
        <w:rPr>
          <w:rFonts w:ascii="Arial" w:cs="Arial" w:hAnsi="Arial" w:eastAsia="Arial"/>
          <w:sz w:val="22"/>
          <w:szCs w:val="22"/>
          <w:u w:color="000000"/>
          <w14:textOutline w14:w="12700" w14:cap="flat">
            <w14:noFill/>
            <w14:miter w14:lim="400000"/>
          </w14:textOutline>
        </w:rPr>
      </w:pPr>
      <w:r>
        <w:rPr>
          <w:rFonts w:ascii="Arial" w:hAnsi="Arial"/>
          <w:sz w:val="22"/>
          <w:szCs w:val="22"/>
          <w:u w:color="000000"/>
          <w:rtl w:val="0"/>
          <w:lang w:val="de-DE"/>
          <w14:textOutline w14:w="12700" w14:cap="flat">
            <w14:noFill/>
            <w14:miter w14:lim="400000"/>
          </w14:textOutline>
        </w:rPr>
        <w:t>Chevy Chase, Barnaby Woods, Hawthorne</w:t>
      </w:r>
    </w:p>
    <w:p>
      <w:pPr>
        <w:pStyle w:val="Default"/>
        <w:spacing w:before="0" w:after="40"/>
        <w:ind w:left="540" w:hanging="540"/>
        <w:jc w:val="center"/>
        <w:rPr>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5601 Connecticut Avenue N.W.  P.O. Box 6252 Washington, D.C. 20015</w:t>
      </w:r>
    </w:p>
    <w:p>
      <w:pPr>
        <w:pStyle w:val="Default"/>
        <w:spacing w:before="0" w:after="40"/>
        <w:ind w:left="540" w:hanging="540"/>
        <w:jc w:val="center"/>
        <w:rPr>
          <w:rStyle w:val="None"/>
          <w:rFonts w:ascii="Arial" w:cs="Arial" w:hAnsi="Arial" w:eastAsia="Arial"/>
          <w:sz w:val="18"/>
          <w:szCs w:val="18"/>
          <w:u w:color="000000"/>
          <w14:textOutline w14:w="12700" w14:cap="flat">
            <w14:noFill/>
            <w14:miter w14:lim="400000"/>
          </w14:textOutline>
        </w:rPr>
      </w:pPr>
      <w:r>
        <w:rPr>
          <w:rFonts w:ascii="Arial" w:hAnsi="Arial"/>
          <w:sz w:val="18"/>
          <w:szCs w:val="18"/>
          <w:u w:color="000000"/>
          <w:rtl w:val="0"/>
          <w:lang w:val="en-US"/>
          <w14:textOutline w14:w="12700" w14:cap="flat">
            <w14:noFill/>
            <w14:miter w14:lim="400000"/>
          </w14:textOutline>
        </w:rPr>
        <w:t xml:space="preserve">3G@anc.dc.gov | </w:t>
      </w:r>
      <w:r>
        <w:rPr>
          <w:rStyle w:val="Hyperlink.0"/>
        </w:rPr>
        <w:fldChar w:fldCharType="begin" w:fldLock="0"/>
      </w:r>
      <w:r>
        <w:rPr>
          <w:rStyle w:val="Hyperlink.0"/>
        </w:rPr>
        <w:instrText xml:space="preserve"> HYPERLINK "http://www.anc3g.org"</w:instrText>
      </w:r>
      <w:r>
        <w:rPr>
          <w:rStyle w:val="Hyperlink.0"/>
        </w:rPr>
        <w:fldChar w:fldCharType="separate" w:fldLock="0"/>
      </w:r>
      <w:r>
        <w:rPr>
          <w:rStyle w:val="Hyperlink.0"/>
          <w:rtl w:val="0"/>
          <w:lang w:val="en-US"/>
        </w:rPr>
        <w:t>http://www.anc3g.org</w:t>
      </w:r>
      <w:r>
        <w:rPr/>
        <w:fldChar w:fldCharType="end" w:fldLock="0"/>
      </w:r>
      <w:r>
        <w:rPr>
          <w:rStyle w:val="None"/>
          <w:rFonts w:ascii="Arial" w:hAnsi="Arial"/>
          <w:outline w:val="0"/>
          <w:color w:val="000000"/>
          <w:sz w:val="18"/>
          <w:szCs w:val="18"/>
          <w:u w:color="000000"/>
          <w:rtl w:val="0"/>
          <w:lang w:val="en-US"/>
          <w14:textOutline w14:w="12700" w14:cap="flat">
            <w14:noFill/>
            <w14:miter w14:lim="400000"/>
          </w14:textOutline>
          <w14:textFill>
            <w14:solidFill>
              <w14:srgbClr w14:val="000000"/>
            </w14:solidFill>
          </w14:textFill>
        </w:rPr>
        <w:t xml:space="preserve"> | </w:t>
      </w:r>
      <w:r>
        <w:rPr>
          <w:rStyle w:val="None"/>
          <w:rFonts w:ascii="Arial" w:hAnsi="Arial"/>
          <w:sz w:val="18"/>
          <w:szCs w:val="18"/>
          <w:u w:color="000000"/>
          <w:rtl w:val="0"/>
          <w:lang w:val="en-US"/>
          <w14:textOutline w14:w="12700" w14:cap="flat">
            <w14:noFill/>
            <w14:miter w14:lim="400000"/>
          </w14:textOutline>
        </w:rPr>
        <w:t>YouTube: ANC3G | Office: 202.363.5803</w:t>
      </w: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jc w:val="center"/>
        <w:rPr>
          <w:rStyle w:val="None"/>
          <w:rFonts w:ascii="Arial" w:cs="Arial" w:hAnsi="Arial" w:eastAsia="Arial"/>
          <w:sz w:val="16"/>
          <w:szCs w:val="16"/>
          <w:u w:color="000000"/>
          <w:lang w:val="de-DE"/>
          <w14:textOutline w14:w="12700" w14:cap="flat">
            <w14:noFill/>
            <w14:miter w14:lim="400000"/>
          </w14:textOutline>
        </w:rPr>
      </w:pPr>
    </w:p>
    <w:p>
      <w:pPr>
        <w:pStyle w:val="Default"/>
        <w:spacing w:before="0" w:after="40"/>
        <w:jc w:val="center"/>
        <w:rPr>
          <w:rStyle w:val="None"/>
          <w:rFonts w:ascii="Arial" w:cs="Arial" w:hAnsi="Arial" w:eastAsia="Arial"/>
          <w:b w:val="1"/>
          <w:bCs w:val="1"/>
          <w:sz w:val="18"/>
          <w:szCs w:val="18"/>
          <w:u w:color="000000"/>
          <w14:textOutline w14:w="12700" w14:cap="flat">
            <w14:noFill/>
            <w14:miter w14:lim="400000"/>
          </w14:textOutline>
        </w:rPr>
      </w:pPr>
      <w:r>
        <w:rPr>
          <w:rStyle w:val="None"/>
          <w:rFonts w:ascii="Arial" w:hAnsi="Arial"/>
          <w:b w:val="1"/>
          <w:bCs w:val="1"/>
          <w:sz w:val="18"/>
          <w:szCs w:val="18"/>
          <w:u w:color="000000"/>
          <w:rtl w:val="0"/>
          <w:lang w:val="de-DE"/>
          <w14:textOutline w14:w="12700" w14:cap="flat">
            <w14:noFill/>
            <w14:miter w14:lim="400000"/>
          </w14:textOutline>
        </w:rPr>
        <w:t>COMMISSIONERS</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3/4G-01 - Lisa R. Gore, Vice-Chair            3/4G-02 - John Higgins, Treasurer</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fr-FR"/>
          <w14:textOutline w14:w="12700" w14:cap="flat">
            <w14:noFill/>
            <w14:miter w14:lim="400000"/>
          </w14:textOutline>
        </w:rPr>
        <w:t>3/4G-03 - Randy Speck, Chair</w:t>
      </w:r>
      <w:r>
        <w:rPr>
          <w:rStyle w:val="None"/>
          <w:rFonts w:ascii="Arial" w:hAnsi="Arial"/>
          <w:sz w:val="18"/>
          <w:szCs w:val="18"/>
          <w:u w:color="000000"/>
          <w:rtl w:val="0"/>
          <w:lang w:val="en-US"/>
          <w14:textOutline w14:w="12700" w14:cap="flat">
            <w14:noFill/>
            <w14:miter w14:lim="400000"/>
          </w14:textOutline>
        </w:rPr>
        <w:t xml:space="preserve">            3/4G-04 - Michael Zeldin            3/4G-05 - Connie K. N. Chang</w:t>
      </w:r>
    </w:p>
    <w:p>
      <w:pPr>
        <w:pStyle w:val="Default"/>
        <w:spacing w:before="0" w:after="20"/>
        <w:jc w:val="center"/>
        <w:rPr>
          <w:rStyle w:val="None"/>
          <w:rFonts w:ascii="Arial" w:cs="Arial" w:hAnsi="Arial" w:eastAsia="Arial"/>
          <w:sz w:val="18"/>
          <w:szCs w:val="18"/>
          <w:u w:color="000000"/>
          <w14:textOutline w14:w="12700" w14:cap="flat">
            <w14:noFill/>
            <w14:miter w14:lim="400000"/>
          </w14:textOutline>
        </w:rPr>
      </w:pPr>
      <w:r>
        <w:rPr>
          <w:rStyle w:val="None"/>
          <w:rFonts w:ascii="Arial" w:hAnsi="Arial"/>
          <w:sz w:val="18"/>
          <w:szCs w:val="18"/>
          <w:u w:color="000000"/>
          <w:rtl w:val="0"/>
          <w:lang w:val="en-US"/>
          <w14:textOutline w14:w="12700" w14:cap="flat">
            <w14:noFill/>
            <w14:miter w14:lim="400000"/>
          </w14:textOutline>
        </w:rPr>
        <w:t>3/4G-06 - Peter Gosselin, Secretary</w:t>
      </w:r>
      <w:r>
        <w:rPr>
          <w:rStyle w:val="None"/>
          <w:rFonts w:ascii="Arial" w:hAnsi="Arial"/>
          <w:sz w:val="18"/>
          <w:szCs w:val="18"/>
          <w:u w:color="000000"/>
          <w:rtl w:val="0"/>
          <w:lang w:val="fr-FR"/>
          <w14:textOutline w14:w="12700" w14:cap="flat">
            <w14:noFill/>
            <w14:miter w14:lim="400000"/>
          </w14:textOutline>
        </w:rPr>
        <w:t xml:space="preserve">            3/4G-07 - </w:t>
      </w:r>
      <w:r>
        <w:rPr>
          <w:rStyle w:val="None"/>
          <w:rFonts w:ascii="Arial" w:hAnsi="Arial"/>
          <w:sz w:val="18"/>
          <w:szCs w:val="18"/>
          <w:u w:color="000000"/>
          <w:rtl w:val="0"/>
          <w:lang w:val="en-US"/>
          <w14:textOutline w14:w="12700" w14:cap="flat">
            <w14:noFill/>
            <w14:miter w14:lim="400000"/>
          </w14:textOutline>
        </w:rPr>
        <w:t>Charles Cadwell</w:t>
      </w:r>
    </w:p>
    <w:p>
      <w:pPr>
        <w:pStyle w:val="Default"/>
        <w:spacing w:before="0" w:after="20"/>
        <w:jc w:val="center"/>
        <w:rPr>
          <w:rStyle w:val="None"/>
          <w:rFonts w:ascii="Arial" w:cs="Arial" w:hAnsi="Arial" w:eastAsia="Arial"/>
          <w:sz w:val="18"/>
          <w:szCs w:val="18"/>
          <w:u w:color="000000"/>
          <w:lang w:val="fr-FR"/>
          <w14:textOutline w14:w="12700" w14:cap="flat">
            <w14:noFill/>
            <w14:miter w14:lim="400000"/>
          </w14:textOutline>
        </w:rPr>
      </w:pPr>
    </w:p>
    <w:p>
      <w:pPr>
        <w:pStyle w:val="Default"/>
        <w:spacing w:before="0" w:after="20"/>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fr-FR"/>
          <w14:textOutline w14:w="12700" w14:cap="flat">
            <w14:noFill/>
            <w14:miter w14:lim="400000"/>
          </w14:textOutline>
        </w:rPr>
        <w:t>____________________________________________________________________________</w:t>
      </w:r>
    </w:p>
    <w:p>
      <w:pPr>
        <w:pStyle w:val="Default"/>
        <w:spacing w:before="0"/>
        <w:rPr>
          <w:rStyle w:val="None"/>
          <w:sz w:val="22"/>
          <w:szCs w:val="22"/>
          <w:u w:color="000000"/>
          <w:lang w:val="en-US"/>
          <w14:textOutline w14:w="12700" w14:cap="flat">
            <w14:noFill/>
            <w14:miter w14:lim="400000"/>
          </w14:textOutline>
        </w:rPr>
      </w:pPr>
    </w:p>
    <w:p>
      <w:pPr>
        <w:pStyle w:val="Default"/>
        <w:spacing w:before="0"/>
        <w:jc w:val="center"/>
        <w:rPr>
          <w:rStyle w:val="None"/>
          <w:rFonts w:ascii="Helvetica Neue" w:cs="Helvetica Neue" w:hAnsi="Helvetica Neue" w:eastAsia="Helvetica Neue"/>
          <w:sz w:val="22"/>
          <w:szCs w:val="22"/>
          <w:u w:color="000000"/>
          <w:lang w:val="en-US"/>
          <w14:textOutline w14:w="12700" w14:cap="flat">
            <w14:noFill/>
            <w14:miter w14:lim="400000"/>
          </w14:textOutline>
        </w:rPr>
      </w:pP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ANC 3/4G Testimony Before the</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Committee on Transportation and the Environment</w:t>
      </w:r>
    </w:p>
    <w:p>
      <w:pPr>
        <w:pStyle w:val="Default"/>
        <w:spacing w:before="0"/>
        <w:jc w:val="center"/>
        <w:rPr>
          <w:rStyle w:val="None"/>
          <w:b w:val="1"/>
          <w:bCs w:val="1"/>
          <w:sz w:val="26"/>
          <w:szCs w:val="26"/>
          <w14:textOutline w14:w="12700" w14:cap="flat">
            <w14:noFill/>
            <w14:miter w14:lim="400000"/>
          </w14:textOutline>
        </w:rPr>
      </w:pPr>
      <w:r>
        <w:rPr>
          <w:rStyle w:val="None"/>
          <w:b w:val="1"/>
          <w:bCs w:val="1"/>
          <w:sz w:val="26"/>
          <w:szCs w:val="26"/>
          <w:rtl w:val="0"/>
          <w:lang w:val="en-US"/>
          <w14:textOutline w14:w="12700" w14:cap="flat">
            <w14:noFill/>
            <w14:miter w14:lim="400000"/>
          </w14:textOutline>
        </w:rPr>
        <w:t>FY 2023 Budget Hearing</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Department of Energy and Environment</w:t>
      </w:r>
    </w:p>
    <w:p>
      <w:pPr>
        <w:pStyle w:val="Default"/>
        <w:spacing w:before="0"/>
        <w:jc w:val="center"/>
        <w:rPr>
          <w:rStyle w:val="None"/>
          <w:b w:val="1"/>
          <w:bCs w:val="1"/>
          <w:sz w:val="26"/>
          <w:szCs w:val="26"/>
          <w:u w:color="000000"/>
          <w14:textOutline w14:w="12700" w14:cap="flat">
            <w14:noFill/>
            <w14:miter w14:lim="400000"/>
          </w14:textOutline>
        </w:rPr>
      </w:pPr>
      <w:r>
        <w:rPr>
          <w:rStyle w:val="None"/>
          <w:b w:val="1"/>
          <w:bCs w:val="1"/>
          <w:sz w:val="26"/>
          <w:szCs w:val="26"/>
          <w:u w:color="000000"/>
          <w:rtl w:val="0"/>
          <w:lang w:val="en-US"/>
          <w14:textOutline w14:w="12700" w14:cap="flat">
            <w14:noFill/>
            <w14:miter w14:lim="400000"/>
          </w14:textOutline>
        </w:rPr>
        <w:t>March 29, 2022</w:t>
      </w:r>
    </w:p>
    <w:p>
      <w:pPr>
        <w:pStyle w:val="Default"/>
        <w:spacing w:before="0"/>
        <w:jc w:val="center"/>
        <w:rPr>
          <w:rStyle w:val="None"/>
          <w:b w:val="1"/>
          <w:bCs w:val="1"/>
          <w:sz w:val="26"/>
          <w:szCs w:val="26"/>
          <w:u w:color="000000"/>
          <w:lang w:val="en-US"/>
          <w14:textOutline w14:w="12700" w14:cap="flat">
            <w14:noFill/>
            <w14:miter w14:lim="400000"/>
          </w14:textOutline>
        </w:rPr>
      </w:pPr>
    </w:p>
    <w:p>
      <w:pPr>
        <w:pStyle w:val="Default"/>
        <w:spacing w:before="0" w:line="480" w:lineRule="auto"/>
        <w:ind w:firstLine="720"/>
        <w:rPr>
          <w:rStyle w:val="None"/>
          <w:sz w:val="26"/>
          <w:szCs w:val="26"/>
          <w:u w:color="000000"/>
          <w14:textOutline w14:w="12700" w14:cap="flat">
            <w14:noFill/>
            <w14:miter w14:lim="400000"/>
          </w14:textOutline>
        </w:rPr>
      </w:pPr>
      <w:r>
        <w:rPr>
          <w:rStyle w:val="None"/>
          <w:sz w:val="26"/>
          <w:szCs w:val="26"/>
          <w:u w:color="000000"/>
          <w:rtl w:val="0"/>
          <w:lang w:val="en-US"/>
          <w14:textOutline w14:w="12700" w14:cap="flat">
            <w14:noFill/>
            <w14:miter w14:lim="400000"/>
          </w14:textOutline>
        </w:rPr>
        <w:t>Chairperson Cheh and members of the Committee on Transportation and the Environment, I am Randy Speck, Chair of ANC 3/4G. Thank you for the opportunity to testify about the Department of Energy and Environment</w:t>
      </w:r>
      <w:r>
        <w:rPr>
          <w:rStyle w:val="None"/>
          <w:sz w:val="26"/>
          <w:szCs w:val="26"/>
          <w:u w:color="000000"/>
          <w:rtl w:val="0"/>
          <w:lang w:val="en-US"/>
          <w14:textOutline w14:w="12700" w14:cap="flat">
            <w14:noFill/>
            <w14:miter w14:lim="400000"/>
          </w14:textOutline>
        </w:rPr>
        <w:t>’</w:t>
      </w:r>
      <w:r>
        <w:rPr>
          <w:rStyle w:val="None"/>
          <w:sz w:val="26"/>
          <w:szCs w:val="26"/>
          <w:u w:color="000000"/>
          <w:rtl w:val="0"/>
          <w:lang w:val="en-US"/>
          <w14:textOutline w14:w="12700" w14:cap="flat">
            <w14:noFill/>
            <w14:miter w14:lim="400000"/>
          </w14:textOutline>
        </w:rPr>
        <w:t>s (DOEE</w:t>
      </w:r>
      <w:r>
        <w:rPr>
          <w:rStyle w:val="None"/>
          <w:sz w:val="26"/>
          <w:szCs w:val="26"/>
          <w:u w:color="000000"/>
          <w:rtl w:val="0"/>
          <w:lang w:val="en-US"/>
          <w14:textOutline w14:w="12700" w14:cap="flat">
            <w14:noFill/>
            <w14:miter w14:lim="400000"/>
          </w14:textOutline>
        </w:rPr>
        <w:t>’</w:t>
      </w:r>
      <w:r>
        <w:rPr>
          <w:rStyle w:val="None"/>
          <w:sz w:val="26"/>
          <w:szCs w:val="26"/>
          <w:u w:color="000000"/>
          <w:rtl w:val="0"/>
          <w:lang w:val="en-US"/>
          <w14:textOutline w14:w="12700" w14:cap="flat">
            <w14:noFill/>
            <w14:miter w14:lim="400000"/>
          </w14:textOutline>
        </w:rPr>
        <w:t>s) budget for FY 2023.</w:t>
      </w:r>
      <w:r>
        <w:rPr>
          <w:rStyle w:val="None"/>
          <w:sz w:val="26"/>
          <w:szCs w:val="26"/>
          <w:u w:color="000000"/>
          <w:vertAlign w:val="superscript"/>
          <w:lang w:val="en-US"/>
          <w14:textOutline w14:w="12700" w14:cap="flat">
            <w14:noFill/>
            <w14:miter w14:lim="400000"/>
          </w14:textOutline>
        </w:rPr>
        <w:footnoteReference w:id="1"/>
      </w:r>
      <w:r>
        <w:rPr>
          <w:rStyle w:val="None"/>
          <w:sz w:val="26"/>
          <w:szCs w:val="26"/>
          <w:u w:color="000000"/>
          <w:rtl w:val="0"/>
          <w:lang w:val="en-US"/>
          <w14:textOutline w14:w="12700" w14:cap="flat">
            <w14:noFill/>
            <w14:miter w14:lim="400000"/>
          </w14:textOutline>
        </w:rPr>
        <w:t xml:space="preserve"> I am testifying on behalf of our Commission, which authorized this testimony at its properly noticed March 28, 2022 public meeting by a vote of _ to _ (a quorum being 4). In addition, I am one of two public representatives appointed by the Council to the Lead Service Line Replacement Task Force (LSL Task Force) created as part of the </w:t>
      </w:r>
      <w:r>
        <w:rPr>
          <w:rStyle w:val="None"/>
          <w:outline w:val="0"/>
          <w:color w:val="4d5156"/>
          <w:sz w:val="26"/>
          <w:szCs w:val="26"/>
          <w:u w:color="4d5156"/>
          <w:rtl w:val="0"/>
          <w:lang w:val="en-US"/>
          <w14:textOutline w14:w="12700" w14:cap="flat">
            <w14:noFill/>
            <w14:miter w14:lim="400000"/>
          </w14:textOutline>
          <w14:textFill>
            <w14:solidFill>
              <w14:srgbClr w14:val="4D5156"/>
            </w14:solidFill>
          </w14:textFill>
        </w:rPr>
        <w:t xml:space="preserve">Fiscal Year </w:t>
      </w:r>
      <w:r>
        <w:rPr>
          <w:rStyle w:val="None"/>
          <w:sz w:val="26"/>
          <w:szCs w:val="26"/>
          <w:u w:color="000000"/>
          <w:rtl w:val="0"/>
          <w:lang w:val="en-US"/>
          <w14:textOutline w14:w="12700" w14:cap="flat">
            <w14:noFill/>
            <w14:miter w14:lim="400000"/>
          </w14:textOutline>
        </w:rPr>
        <w:t>2022 Budget Support Act</w:t>
      </w:r>
      <w:r>
        <w:rPr>
          <w:rStyle w:val="None"/>
          <w:outline w:val="0"/>
          <w:color w:val="4d5156"/>
          <w:sz w:val="26"/>
          <w:szCs w:val="26"/>
          <w:u w:color="4d5156"/>
          <w:rtl w:val="0"/>
          <w:lang w:val="en-US"/>
          <w14:textOutline w14:w="12700" w14:cap="flat">
            <w14:noFill/>
            <w14:miter w14:lim="400000"/>
          </w14:textOutline>
          <w14:textFill>
            <w14:solidFill>
              <w14:srgbClr w14:val="4D5156"/>
            </w14:solidFill>
          </w14:textFill>
        </w:rPr>
        <w:t xml:space="preserve"> of 2021</w:t>
      </w:r>
      <w:r>
        <w:rPr>
          <w:rStyle w:val="None"/>
          <w:sz w:val="26"/>
          <w:szCs w:val="26"/>
          <w:u w:color="000000"/>
          <w:rtl w:val="0"/>
          <w:lang w:val="en-US"/>
          <w14:textOutline w14:w="12700" w14:cap="flat">
            <w14:noFill/>
            <w14:miter w14:lim="400000"/>
          </w14:textOutline>
        </w:rPr>
        <w:t>.</w:t>
      </w:r>
      <w:r>
        <w:rPr>
          <w:rStyle w:val="None"/>
          <w:sz w:val="26"/>
          <w:szCs w:val="26"/>
          <w:u w:color="000000"/>
          <w:vertAlign w:val="superscript"/>
          <w:lang w:val="en-US"/>
          <w14:textOutline w14:w="12700" w14:cap="flat">
            <w14:noFill/>
            <w14:miter w14:lim="400000"/>
          </w14:textOutline>
        </w:rPr>
        <w:footnoteReference w:id="2"/>
      </w:r>
      <w:r>
        <w:rPr>
          <w:rStyle w:val="None"/>
          <w:sz w:val="26"/>
          <w:szCs w:val="26"/>
          <w:u w:color="000000"/>
          <w:rtl w:val="0"/>
          <w:lang w:val="en-US"/>
          <w14:textOutline w14:w="12700" w14:cap="flat">
            <w14:noFill/>
            <w14:miter w14:lim="400000"/>
          </w14:textOutline>
        </w:rPr>
        <w:t xml:space="preserve"> My testimony focuses on DOEE</w:t>
      </w:r>
      <w:r>
        <w:rPr>
          <w:rStyle w:val="None"/>
          <w:sz w:val="26"/>
          <w:szCs w:val="26"/>
          <w:u w:color="000000"/>
          <w:rtl w:val="0"/>
          <w:lang w:val="en-US"/>
          <w14:textOutline w14:w="12700" w14:cap="flat">
            <w14:noFill/>
            <w14:miter w14:lim="400000"/>
          </w14:textOutline>
        </w:rPr>
        <w:t>’</w:t>
      </w:r>
      <w:r>
        <w:rPr>
          <w:rStyle w:val="None"/>
          <w:sz w:val="26"/>
          <w:szCs w:val="26"/>
          <w:u w:color="000000"/>
          <w:rtl w:val="0"/>
          <w:lang w:val="en-US"/>
          <w14:textOutline w14:w="12700" w14:cap="flat">
            <w14:noFill/>
            <w14:miter w14:lim="400000"/>
          </w14:textOutline>
        </w:rPr>
        <w:t>s proposed budget as it relates to lead service line (LSL) replacement.</w:t>
      </w:r>
    </w:p>
    <w:p>
      <w:pPr>
        <w:pStyle w:val="Default"/>
        <w:spacing w:before="0" w:line="480" w:lineRule="auto"/>
        <w:ind w:firstLine="720"/>
        <w:rPr>
          <w:rStyle w:val="None"/>
          <w:sz w:val="26"/>
          <w:szCs w:val="26"/>
          <w:u w:color="000000"/>
          <w14:textOutline w14:w="12700" w14:cap="flat">
            <w14:noFill/>
            <w14:miter w14:lim="400000"/>
          </w14:textOutline>
        </w:rPr>
      </w:pPr>
      <w:r>
        <w:rPr>
          <w:rStyle w:val="None"/>
          <w:sz w:val="26"/>
          <w:szCs w:val="26"/>
          <w:u w:color="000000"/>
          <w:rtl w:val="0"/>
          <w:lang w:val="en-US"/>
          <w14:textOutline w14:w="12700" w14:cap="flat">
            <w14:noFill/>
            <w14:miter w14:lim="400000"/>
          </w14:textOutline>
        </w:rPr>
        <w:t>Lead free water should be a fundamental right of all District residents and it should be provided to DC Water customers without cost. DOEE plays a crucial role in protecting District residents</w:t>
      </w:r>
      <w:r>
        <w:rPr>
          <w:rStyle w:val="None"/>
          <w:sz w:val="26"/>
          <w:szCs w:val="26"/>
          <w:u w:color="000000"/>
          <w:rtl w:val="0"/>
          <w:lang w:val="en-US"/>
          <w14:textOutline w14:w="12700" w14:cap="flat">
            <w14:noFill/>
            <w14:miter w14:lim="400000"/>
          </w14:textOutline>
        </w:rPr>
        <w:t xml:space="preserve">’ </w:t>
      </w:r>
      <w:r>
        <w:rPr>
          <w:rStyle w:val="None"/>
          <w:sz w:val="26"/>
          <w:szCs w:val="26"/>
          <w:u w:color="000000"/>
          <w:rtl w:val="0"/>
          <w:lang w:val="en-US"/>
          <w14:textOutline w14:w="12700" w14:cap="flat">
            <w14:noFill/>
            <w14:miter w14:lim="400000"/>
          </w14:textOutline>
        </w:rPr>
        <w:t>health because it dispenses and oversees federal funding to DC Water to replace LSLs. DC Water has committed to remove all of those LSLs by 2030. Last year, we urged the Council to allocate the $350 million that DC Water and DOEE</w:t>
      </w:r>
      <w:r>
        <w:rPr>
          <w:rStyle w:val="None"/>
          <w:sz w:val="26"/>
          <w:szCs w:val="26"/>
          <w:u w:color="000000"/>
          <w:rtl w:val="0"/>
          <w:lang w:val="en-US"/>
          <w14:textOutline w14:w="12700" w14:cap="flat">
            <w14:noFill/>
            <w14:miter w14:lim="400000"/>
          </w14:textOutline>
        </w:rPr>
        <w:t>’</w:t>
      </w:r>
      <w:r>
        <w:rPr>
          <w:rStyle w:val="None"/>
          <w:sz w:val="26"/>
          <w:szCs w:val="26"/>
          <w:u w:color="000000"/>
          <w:rtl w:val="0"/>
          <w:lang w:val="en-US"/>
          <w14:textOutline w14:w="12700" w14:cap="flat">
            <w14:noFill/>
            <w14:miter w14:lim="400000"/>
          </w14:textOutline>
        </w:rPr>
        <w:t>s Director had requested to remove all LSLs.</w:t>
      </w:r>
      <w:r>
        <w:rPr>
          <w:rStyle w:val="None"/>
          <w:sz w:val="26"/>
          <w:szCs w:val="26"/>
          <w:u w:color="000000"/>
          <w:vertAlign w:val="superscript"/>
          <w:lang w:val="en-US"/>
          <w14:textOutline w14:w="12700" w14:cap="flat">
            <w14:noFill/>
            <w14:miter w14:lim="400000"/>
          </w14:textOutline>
        </w:rPr>
        <w:footnoteReference w:id="3"/>
      </w:r>
      <w:r>
        <w:rPr>
          <w:rStyle w:val="None"/>
          <w:sz w:val="26"/>
          <w:szCs w:val="26"/>
          <w:u w:color="000000"/>
          <w:rtl w:val="0"/>
          <w:lang w:val="en-US"/>
          <w14:textOutline w14:w="12700" w14:cap="flat">
            <w14:noFill/>
            <w14:miter w14:lim="400000"/>
          </w14:textOutline>
        </w:rPr>
        <w:t xml:space="preserve"> At that time, DC Water estimated that this project would cost about $1 billion,</w:t>
      </w:r>
      <w:r>
        <w:rPr>
          <w:rStyle w:val="None"/>
          <w:sz w:val="26"/>
          <w:szCs w:val="26"/>
          <w:u w:color="000000"/>
          <w:vertAlign w:val="superscript"/>
          <w:lang w:val="en-US"/>
          <w14:textOutline w14:w="12700" w14:cap="flat">
            <w14:noFill/>
            <w14:miter w14:lim="400000"/>
          </w14:textOutline>
        </w:rPr>
        <w:footnoteReference w:id="4"/>
      </w:r>
      <w:r>
        <w:rPr>
          <w:rStyle w:val="None"/>
          <w:sz w:val="26"/>
          <w:szCs w:val="26"/>
          <w:u w:color="000000"/>
          <w:rtl w:val="0"/>
          <w:lang w:val="en-US"/>
          <w14:textOutline w14:w="12700" w14:cap="flat">
            <w14:noFill/>
            <w14:miter w14:lim="400000"/>
          </w14:textOutline>
        </w:rPr>
        <w:t xml:space="preserve"> even though the costs incurred in other cities suggest that the District should require no more than about $228 million.</w:t>
      </w:r>
      <w:r>
        <w:rPr>
          <w:rStyle w:val="None"/>
          <w:sz w:val="26"/>
          <w:szCs w:val="26"/>
          <w:u w:color="000000"/>
          <w:vertAlign w:val="superscript"/>
          <w:lang w:val="en-US"/>
          <w14:textOutline w14:w="12700" w14:cap="flat">
            <w14:noFill/>
            <w14:miter w14:lim="400000"/>
          </w14:textOutline>
        </w:rPr>
        <w:footnoteReference w:id="5"/>
      </w:r>
      <w:r>
        <w:rPr>
          <w:rStyle w:val="None"/>
          <w:sz w:val="26"/>
          <w:szCs w:val="26"/>
          <w:u w:color="000000"/>
          <w:rtl w:val="0"/>
          <w:lang w:val="en-US"/>
          <w14:textOutline w14:w="12700" w14:cap="flat">
            <w14:noFill/>
            <w14:miter w14:lim="400000"/>
          </w14:textOutline>
        </w:rPr>
        <w:t xml:space="preserve"> </w:t>
      </w:r>
    </w:p>
    <w:p>
      <w:pPr>
        <w:pStyle w:val="Default"/>
        <w:spacing w:before="0" w:line="480" w:lineRule="auto"/>
        <w:ind w:firstLine="720"/>
        <w:rPr>
          <w:rStyle w:val="None"/>
          <w:sz w:val="26"/>
          <w:szCs w:val="26"/>
          <w14:textOutline w14:w="12700" w14:cap="flat">
            <w14:noFill/>
            <w14:miter w14:lim="400000"/>
          </w14:textOutline>
        </w:rPr>
      </w:pPr>
      <w:r>
        <w:rPr>
          <w:rStyle w:val="None"/>
          <w:sz w:val="26"/>
          <w:szCs w:val="26"/>
          <w:rtl w:val="0"/>
          <w:lang w:val="en-US"/>
          <w14:textOutline w14:w="12700" w14:cap="flat">
            <w14:noFill/>
            <w14:miter w14:lim="400000"/>
          </w14:textOutline>
        </w:rPr>
        <w:t>Congress has earmarked money for LSL replacement in the American Recovery Plan Act (ARPA) and the Infrastructure Investment and Jobs Act. DOEE</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proposed budget includes $10 million from ARPA that it will provide to DC Water in FY 2023 for LSL replacement.</w:t>
      </w:r>
      <w:r>
        <w:rPr>
          <w:rStyle w:val="None"/>
          <w:sz w:val="26"/>
          <w:szCs w:val="26"/>
          <w:vertAlign w:val="superscript"/>
          <w:lang w:val="en-US"/>
          <w14:textOutline w14:w="12700" w14:cap="flat">
            <w14:noFill/>
            <w14:miter w14:lim="400000"/>
          </w14:textOutline>
        </w:rPr>
        <w:footnoteReference w:id="6"/>
      </w:r>
      <w:r>
        <w:rPr>
          <w:rStyle w:val="None"/>
          <w:sz w:val="26"/>
          <w:szCs w:val="26"/>
          <w:rtl w:val="0"/>
          <w:lang w:val="en-US"/>
          <w14:textOutline w14:w="12700" w14:cap="flat">
            <w14:noFill/>
            <w14:miter w14:lim="400000"/>
          </w14:textOutline>
        </w:rPr>
        <w:t xml:space="preserve"> </w:t>
      </w:r>
      <w:r>
        <w:rPr>
          <w:rStyle w:val="None"/>
          <w:sz w:val="26"/>
          <w:szCs w:val="26"/>
          <w:rtl w:val="0"/>
          <w:lang w:val="en-US"/>
          <w14:textOutline w14:w="12700" w14:cap="flat">
            <w14:noFill/>
            <w14:miter w14:lim="400000"/>
          </w14:textOutline>
        </w:rPr>
        <w:t>Additional</w:t>
      </w:r>
      <w:r>
        <w:rPr>
          <w:rStyle w:val="None"/>
          <w:sz w:val="26"/>
          <w:szCs w:val="26"/>
          <w:rtl w:val="0"/>
          <w:lang w:val="en-US"/>
          <w14:textOutline w14:w="12700" w14:cap="flat">
            <w14:noFill/>
            <w14:miter w14:lim="400000"/>
          </w14:textOutline>
        </w:rPr>
        <w:t xml:space="preserve"> federal funds should be made available and should not be diverted to any other purpose. In addition, DC Water recently committed to supplement federal appropriations and to fully fund LSL replacement through its capital improvement plan.</w:t>
      </w:r>
      <w:r>
        <w:rPr>
          <w:rStyle w:val="None"/>
          <w:sz w:val="26"/>
          <w:szCs w:val="26"/>
          <w:vertAlign w:val="superscript"/>
          <w:lang w:val="en-US"/>
          <w14:textOutline w14:w="12700" w14:cap="flat">
            <w14:noFill/>
            <w14:miter w14:lim="400000"/>
          </w14:textOutline>
        </w:rPr>
        <w:footnoteReference w:id="7"/>
      </w:r>
      <w:r>
        <w:rPr>
          <w:rStyle w:val="None"/>
          <w:sz w:val="26"/>
          <w:szCs w:val="26"/>
          <w:rtl w:val="0"/>
          <w:lang w:val="en-US"/>
          <w14:textOutline w14:w="12700" w14:cap="flat">
            <w14:noFill/>
            <w14:miter w14:lim="400000"/>
          </w14:textOutline>
        </w:rPr>
        <w:t xml:space="preserve"> Under this plan, however, DC Water expects that customers will pay for this commitment through expected rate increases.</w:t>
      </w:r>
    </w:p>
    <w:p>
      <w:pPr>
        <w:pStyle w:val="Default"/>
        <w:spacing w:before="0" w:line="480" w:lineRule="auto"/>
        <w:ind w:firstLine="720"/>
        <w:rPr>
          <w:rStyle w:val="None"/>
          <w:sz w:val="26"/>
          <w:szCs w:val="26"/>
          <w14:textOutline w14:w="12700" w14:cap="flat">
            <w14:noFill/>
            <w14:miter w14:lim="400000"/>
          </w14:textOutline>
        </w:rPr>
      </w:pPr>
      <w:r>
        <w:rPr>
          <w:rStyle w:val="None"/>
          <w:sz w:val="26"/>
          <w:szCs w:val="26"/>
          <w:rtl w:val="0"/>
          <w:lang w:val="en-US"/>
          <w14:textOutline w14:w="12700" w14:cap="flat">
            <w14:noFill/>
            <w14:miter w14:lim="400000"/>
          </w14:textOutline>
        </w:rPr>
        <w:t>The LSL Task Force is addressing funding sources for LSL replacement, and both the Task Force and the Council</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independent contractor are examining the reasonable costs for replacing all of the District</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LSLs by 2030. These analyses and recommendations may not be available before the Council must approve the FY 2023 budget. Nevertheless, we urge the Council to include provisions in the Budget Support Act that will require DOEE to ensure that all federal and local funds for LSL replacement are used solely for that purpose and not for DC Water</w:t>
      </w:r>
      <w:r>
        <w:rPr>
          <w:rStyle w:val="None"/>
          <w:sz w:val="26"/>
          <w:szCs w:val="26"/>
          <w:rtl w:val="0"/>
          <w:lang w:val="en-US"/>
          <w14:textOutline w14:w="12700" w14:cap="flat">
            <w14:noFill/>
            <w14:miter w14:lim="400000"/>
          </w14:textOutline>
        </w:rPr>
        <w:t>’</w:t>
      </w:r>
      <w:r>
        <w:rPr>
          <w:rStyle w:val="None"/>
          <w:sz w:val="26"/>
          <w:szCs w:val="26"/>
          <w:rtl w:val="0"/>
          <w:lang w:val="en-US"/>
          <w14:textOutline w14:w="12700" w14:cap="flat">
            <w14:noFill/>
            <w14:miter w14:lim="400000"/>
          </w14:textOutline>
        </w:rPr>
        <w:t>s other capital improvements, e.g., water main replacement that is not required for LSL replacement. DOEE should require that DC Water itemize and transparently report how it uses federal and local funds.</w:t>
      </w:r>
    </w:p>
    <w:p>
      <w:pPr>
        <w:pStyle w:val="Default"/>
        <w:spacing w:before="0" w:line="480" w:lineRule="auto"/>
        <w:ind w:firstLine="720"/>
        <w:rPr>
          <w:rStyle w:val="None"/>
          <w:sz w:val="26"/>
          <w:szCs w:val="26"/>
          <w14:textOutline w14:w="12700" w14:cap="flat">
            <w14:noFill/>
            <w14:miter w14:lim="400000"/>
          </w14:textOutline>
        </w:rPr>
      </w:pPr>
      <w:r>
        <w:rPr>
          <w:rStyle w:val="None"/>
          <w:sz w:val="26"/>
          <w:szCs w:val="26"/>
          <w:rtl w:val="0"/>
          <w:lang w:val="en-US"/>
          <w14:textOutline w14:w="12700" w14:cap="flat">
            <w14:noFill/>
            <w14:miter w14:lim="400000"/>
          </w14:textOutline>
        </w:rPr>
        <w:t xml:space="preserve">The LSL Task Force is also examining ways to make the block-by-block LSL replacement more efficient and thereby reduce costs. This block-by-block approach should be more cost-effective than past piecemeal programs, which should be phased out to the greatest extent possible. In beginning to implement block-by-block replacements, however, DC Water has experienced a high rate of customer rejections </w:t>
      </w:r>
      <w:r>
        <w:rPr>
          <w:rStyle w:val="None"/>
          <w:sz w:val="26"/>
          <w:szCs w:val="26"/>
          <w:rtl w:val="0"/>
          <w:lang w:val="en-US"/>
          <w14:textOutline w14:w="12700" w14:cap="flat">
            <w14:noFill/>
            <w14:miter w14:lim="400000"/>
          </w14:textOutline>
        </w:rPr>
        <w:t xml:space="preserve">— </w:t>
      </w:r>
      <w:r>
        <w:rPr>
          <w:rStyle w:val="None"/>
          <w:sz w:val="26"/>
          <w:szCs w:val="26"/>
          <w:rtl w:val="0"/>
          <w:lang w:val="en-US"/>
          <w14:textOutline w14:w="12700" w14:cap="flat">
            <w14:noFill/>
            <w14:miter w14:lim="400000"/>
          </w14:textOutline>
        </w:rPr>
        <w:t>even when customers bear none of the costs. DC Water may be able to reduce the number of those rejections through better communications with customers, but the rate of customer rejection may still be too high to permit an efficient block-by-block program. Thus, the LSL Task Force will likely recommend that the Council enact a mandate that will require customers to allow DC Water to replace LSLs on their property</w:t>
      </w:r>
      <w:r>
        <w:rPr>
          <w:rStyle w:val="None"/>
          <w:sz w:val="26"/>
          <w:szCs w:val="26"/>
          <w:rtl w:val="0"/>
          <w:lang w:val="en-US"/>
          <w14:textOutline w14:w="12700" w14:cap="flat">
            <w14:noFill/>
            <w14:miter w14:lim="400000"/>
          </w14:textOutline>
        </w:rPr>
        <w:t xml:space="preserve"> and will provide customers with filters and other measures to protect themselves before and after replacement</w:t>
      </w:r>
      <w:r>
        <w:rPr>
          <w:rStyle w:val="None"/>
          <w:sz w:val="26"/>
          <w:szCs w:val="26"/>
          <w:rtl w:val="0"/>
          <w:lang w:val="en-US"/>
          <w14:textOutline w14:w="12700" w14:cap="flat">
            <w14:noFill/>
            <w14:miter w14:lim="400000"/>
          </w14:textOutline>
        </w:rPr>
        <w:t>. Other jurisdictions have adopted such mandates as the best way to address these concerns.</w:t>
      </w:r>
      <w:r>
        <w:rPr>
          <w:rStyle w:val="None"/>
          <w:sz w:val="26"/>
          <w:szCs w:val="26"/>
          <w:vertAlign w:val="superscript"/>
          <w:lang w:val="en-US"/>
          <w14:textOutline w14:w="12700" w14:cap="flat">
            <w14:noFill/>
            <w14:miter w14:lim="400000"/>
          </w14:textOutline>
        </w:rPr>
        <w:footnoteReference w:id="8"/>
      </w:r>
      <w:r>
        <w:rPr>
          <w:rStyle w:val="None"/>
          <w:sz w:val="26"/>
          <w:szCs w:val="26"/>
          <w:rtl w:val="0"/>
          <w:lang w:val="en-US"/>
          <w14:textOutline w14:w="12700" w14:cap="flat">
            <w14:noFill/>
            <w14:miter w14:lim="400000"/>
          </w14:textOutline>
        </w:rPr>
        <w:t xml:space="preserve"> </w:t>
      </w:r>
    </w:p>
    <w:p>
      <w:pPr>
        <w:pStyle w:val="Default"/>
        <w:spacing w:before="0" w:line="480" w:lineRule="auto"/>
        <w:ind w:firstLine="720"/>
        <w:rPr>
          <w:rStyle w:val="None"/>
          <w:sz w:val="26"/>
          <w:szCs w:val="26"/>
          <w14:textOutline w14:w="12700" w14:cap="flat">
            <w14:noFill/>
            <w14:miter w14:lim="400000"/>
          </w14:textOutline>
        </w:rPr>
      </w:pPr>
      <w:r>
        <w:rPr>
          <w:rStyle w:val="None"/>
          <w:sz w:val="26"/>
          <w:szCs w:val="26"/>
          <w:rtl w:val="0"/>
          <w:lang w:val="en-US"/>
          <w14:textOutline w14:w="12700" w14:cap="flat">
            <w14:noFill/>
            <w14:miter w14:lim="400000"/>
          </w14:textOutline>
        </w:rPr>
        <w:t>District residents have lived with the acknowledged health hazard posed by LSL for decades. DOEE, other District agencies, DC Water, and the Council must now use all available resources and tactics to fully rid the District of this unacceptable threat.</w:t>
      </w:r>
    </w:p>
    <w:p>
      <w:pPr>
        <w:pStyle w:val="Default"/>
        <w:spacing w:before="0" w:line="480" w:lineRule="auto"/>
        <w:ind w:firstLine="720"/>
      </w:pPr>
      <w:r>
        <w:rPr>
          <w:rStyle w:val="None"/>
          <w:sz w:val="26"/>
          <w:szCs w:val="26"/>
          <w:u w:val="none" w:color="000000"/>
          <w:rtl w:val="0"/>
          <w:lang w:val="en-US"/>
          <w14:textOutline w14:w="12700" w14:cap="flat">
            <w14:noFill/>
            <w14:miter w14:lim="400000"/>
          </w14:textOutline>
        </w:rPr>
        <w:t xml:space="preserve">Thank you. </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tab/>
    </w:r>
    <w:r>
      <w:rPr/>
      <w:fldChar w:fldCharType="begin" w:fldLock="0"/>
    </w:r>
    <w:r>
      <w:instrText xml:space="preserve"> PAGE </w:instrText>
    </w:r>
    <w:r>
      <w:rPr/>
      <w:fldChar w:fldCharType="separate" w:fldLock="0"/>
    </w:r>
    <w:r/>
    <w:r>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w:pPr>
      <w:r>
        <w:rPr>
          <w:rStyle w:val="None"/>
          <w:sz w:val="26"/>
          <w:szCs w:val="26"/>
          <w:u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w:t>
      </w:r>
      <w:r>
        <w:rPr>
          <w:rStyle w:val="Hyperlink.1"/>
        </w:rPr>
        <w:fldChar w:fldCharType="begin" w:fldLock="0"/>
      </w:r>
      <w:r>
        <w:rPr>
          <w:rStyle w:val="Hyperlink.1"/>
        </w:rPr>
        <w:instrText xml:space="preserve"> HYPERLINK "https://app.box.com/s/6kxbhwu48ks067yxklun0cyids7h4bnw"</w:instrText>
      </w:r>
      <w:r>
        <w:rPr>
          <w:rStyle w:val="Hyperlink.1"/>
        </w:rPr>
        <w:fldChar w:fldCharType="separate" w:fldLock="0"/>
      </w:r>
      <w:r>
        <w:rPr>
          <w:rStyle w:val="Hyperlink.1"/>
          <w:rFonts w:cs="Arial Unicode MS" w:eastAsia="Arial Unicode MS" w:hint="default"/>
          <w:rtl w:val="0"/>
          <w:lang w:val="en-US"/>
        </w:rPr>
        <w:t>“</w:t>
      </w:r>
      <w:r>
        <w:rPr>
          <w:rStyle w:val="Hyperlink.1"/>
          <w:rFonts w:cs="Arial Unicode MS" w:eastAsia="Arial Unicode MS"/>
          <w:rtl w:val="0"/>
          <w:lang w:val="en-US"/>
        </w:rPr>
        <w:t>FY 2023 Proposed Budget and Financial Plan,</w:t>
      </w:r>
      <w:r>
        <w:rPr>
          <w:rStyle w:val="Hyperlink.1"/>
          <w:rFonts w:cs="Arial Unicode MS" w:eastAsia="Arial Unicode MS" w:hint="default"/>
          <w:rtl w:val="0"/>
          <w:lang w:val="en-US"/>
        </w:rPr>
        <w:t xml:space="preserve">” </w:t>
      </w:r>
      <w:r>
        <w:rPr>
          <w:rStyle w:val="Hyperlink.1"/>
          <w:rFonts w:cs="Arial Unicode MS" w:eastAsia="Arial Unicode MS"/>
          <w:rtl w:val="0"/>
          <w:lang w:val="en-US"/>
        </w:rPr>
        <w:t xml:space="preserve">March 16, 2022, Volume 4, Agency Budget Chapters </w:t>
      </w:r>
      <w:r>
        <w:rPr>
          <w:rStyle w:val="Hyperlink.1"/>
          <w:rFonts w:cs="Arial Unicode MS" w:eastAsia="Arial Unicode MS" w:hint="default"/>
          <w:rtl w:val="0"/>
          <w:lang w:val="en-US"/>
        </w:rPr>
        <w:t xml:space="preserve">— </w:t>
      </w:r>
      <w:r>
        <w:rPr>
          <w:rStyle w:val="Hyperlink.1"/>
          <w:rFonts w:cs="Arial Unicode MS" w:eastAsia="Arial Unicode MS"/>
          <w:rtl w:val="0"/>
          <w:lang w:val="en-US"/>
        </w:rPr>
        <w:t>Part III</w:t>
      </w:r>
      <w:r>
        <w:rPr/>
        <w:fldChar w:fldCharType="end" w:fldLock="0"/>
      </w:r>
      <w:r>
        <w:rPr>
          <w:rStyle w:val="None"/>
          <w:rFonts w:cs="Arial Unicode MS" w:eastAsia="Arial Unicode MS"/>
          <w:sz w:val="24"/>
          <w:szCs w:val="24"/>
          <w:rtl w:val="0"/>
          <w:lang w:val="en-US"/>
        </w:rPr>
        <w:t>, (Proposed Budget) pages F-15 through F-25.</w:t>
      </w:r>
      <w:r>
        <w:rPr>
          <w:rStyle w:val="None"/>
          <w:rFonts w:cs="Arial Unicode MS" w:eastAsia="Arial Unicode MS"/>
          <w:rtl w:val="0"/>
          <w:lang w:val="en-US"/>
        </w:rPr>
        <w:t xml:space="preserve"> </w:t>
      </w:r>
    </w:p>
  </w:footnote>
  <w:footnote w:id="2">
    <w:p>
      <w:pPr>
        <w:pStyle w:val="Footnote"/>
      </w:pPr>
      <w:r>
        <w:rPr>
          <w:rStyle w:val="None"/>
          <w:sz w:val="26"/>
          <w:szCs w:val="26"/>
          <w:u w:color="000000"/>
          <w:vertAlign w:val="superscript"/>
          <w:lang w:val="en-US"/>
          <w14:textOutline w14:w="12700" w14:cap="flat">
            <w14:noFill/>
            <w14:miter w14:lim="400000"/>
          </w14:textOutline>
        </w:rPr>
        <w:footnoteRef/>
      </w:r>
      <w:r>
        <w:rPr>
          <w:rStyle w:val="None"/>
          <w:rFonts w:cs="Arial Unicode MS" w:eastAsia="Arial Unicode MS"/>
          <w:u w:color="000000"/>
          <w:rtl w:val="0"/>
          <w14:textOutline w14:w="12700" w14:cap="flat">
            <w14:noFill/>
            <w14:miter w14:lim="400000"/>
          </w14:textOutline>
        </w:rPr>
        <w:t xml:space="preserve"> </w:t>
      </w:r>
      <w:r>
        <w:rPr>
          <w:rStyle w:val="Hyperlink.2"/>
        </w:rPr>
        <w:fldChar w:fldCharType="begin" w:fldLock="0"/>
      </w:r>
      <w:r>
        <w:rPr>
          <w:rStyle w:val="Hyperlink.2"/>
        </w:rPr>
        <w:instrText xml:space="preserve"> HYPERLINK "https://code.dccouncil.us/us/dc/council/code/sections/34-2162"</w:instrText>
      </w:r>
      <w:r>
        <w:rPr>
          <w:rStyle w:val="Hyperlink.2"/>
        </w:rPr>
        <w:fldChar w:fldCharType="separate" w:fldLock="0"/>
      </w:r>
      <w:r>
        <w:rPr>
          <w:rStyle w:val="Hyperlink.2"/>
          <w:rFonts w:cs="Arial Unicode MS" w:eastAsia="Arial Unicode MS"/>
          <w:rtl w:val="0"/>
          <w:lang w:val="en-US"/>
        </w:rPr>
        <w:t xml:space="preserve">D.C. Code </w:t>
      </w:r>
      <w:r>
        <w:rPr>
          <w:rStyle w:val="None"/>
          <w:rFonts w:cs="Arial Unicode MS" w:eastAsia="Arial Unicode MS" w:hint="default"/>
          <w:u w:val="single" w:color="000000"/>
          <w:rtl w:val="0"/>
          <w14:textOutline w14:w="12700" w14:cap="flat">
            <w14:noFill/>
            <w14:miter w14:lim="400000"/>
          </w14:textOutline>
        </w:rPr>
        <w:t xml:space="preserve">§ </w:t>
      </w:r>
      <w:r>
        <w:rPr>
          <w:rStyle w:val="None"/>
          <w:rFonts w:cs="Arial Unicode MS" w:eastAsia="Arial Unicode MS"/>
          <w:u w:val="single" w:color="000000"/>
          <w:rtl w:val="0"/>
          <w:lang w:val="ru-RU"/>
          <w14:textOutline w14:w="12700" w14:cap="flat">
            <w14:noFill/>
            <w14:miter w14:lim="400000"/>
          </w14:textOutline>
        </w:rPr>
        <w:t>34</w:t>
      </w:r>
      <w:r>
        <w:rPr>
          <w:rStyle w:val="None"/>
          <w:rFonts w:cs="Arial Unicode MS" w:eastAsia="Arial Unicode MS" w:hint="default"/>
          <w:u w:val="single" w:color="000000"/>
          <w:rtl w:val="0"/>
          <w14:textOutline w14:w="12700" w14:cap="flat">
            <w14:noFill/>
            <w14:miter w14:lim="400000"/>
          </w14:textOutline>
        </w:rPr>
        <w:t>–</w:t>
      </w:r>
      <w:r>
        <w:rPr>
          <w:rStyle w:val="None"/>
          <w:rFonts w:cs="Arial Unicode MS" w:eastAsia="Arial Unicode MS"/>
          <w:u w:val="single" w:color="000000"/>
          <w:rtl w:val="0"/>
          <w14:textOutline w14:w="12700" w14:cap="flat">
            <w14:noFill/>
            <w14:miter w14:lim="400000"/>
          </w14:textOutline>
        </w:rPr>
        <w:t>2162</w:t>
      </w:r>
      <w:r>
        <w:rPr/>
        <w:fldChar w:fldCharType="end" w:fldLock="0"/>
      </w:r>
      <w:r>
        <w:rPr>
          <w:rStyle w:val="None"/>
          <w:rFonts w:cs="Arial Unicode MS" w:eastAsia="Arial Unicode MS"/>
          <w:u w:color="000000"/>
          <w:rtl w:val="0"/>
          <w:lang w:val="en-US"/>
          <w14:textOutline w14:w="12700" w14:cap="flat">
            <w14:noFill/>
            <w14:miter w14:lim="400000"/>
          </w14:textOutline>
        </w:rPr>
        <w:t>.</w:t>
      </w:r>
    </w:p>
  </w:footnote>
  <w:footnote w:id="3">
    <w:p>
      <w:pPr>
        <w:pStyle w:val="Footnote"/>
      </w:pPr>
      <w:r>
        <w:rPr>
          <w:rStyle w:val="None"/>
          <w:sz w:val="26"/>
          <w:szCs w:val="26"/>
          <w:u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1"/>
        </w:rPr>
        <w:fldChar w:fldCharType="begin" w:fldLock="0"/>
      </w:r>
      <w:r>
        <w:rPr>
          <w:rStyle w:val="Hyperlink.1"/>
        </w:rPr>
        <w:instrText xml:space="preserve"> HYPERLINK "https://anc3g.org/wp-content/uploads/2021/06/ANC-34G-Testimony-DOEEs-Budget-6-14-21-draft-6-2-21.pdf"</w:instrText>
      </w:r>
      <w:r>
        <w:rPr>
          <w:rStyle w:val="Hyperlink.1"/>
        </w:rPr>
        <w:fldChar w:fldCharType="separate" w:fldLock="0"/>
      </w:r>
      <w:r>
        <w:rPr>
          <w:rStyle w:val="Hyperlink.1"/>
          <w:rFonts w:cs="Arial Unicode MS" w:eastAsia="Arial Unicode MS"/>
          <w:rtl w:val="0"/>
          <w:lang w:val="en-US"/>
        </w:rPr>
        <w:t>ANC 3/4G Testimony Before the Committee on Transportation and the Environment FY 2022 Budget Hearing Department of Energy and Environment</w:t>
      </w:r>
      <w:r>
        <w:rPr/>
        <w:fldChar w:fldCharType="end" w:fldLock="0"/>
      </w:r>
      <w:r>
        <w:rPr>
          <w:rStyle w:val="None"/>
          <w:rFonts w:cs="Arial Unicode MS" w:eastAsia="Arial Unicode MS"/>
          <w:rtl w:val="0"/>
          <w:lang w:val="en-US"/>
        </w:rPr>
        <w:t xml:space="preserve">, </w:t>
      </w:r>
      <w:r>
        <w:rPr>
          <w:rStyle w:val="None"/>
          <w:rFonts w:cs="Arial Unicode MS" w:eastAsia="Arial Unicode MS"/>
          <w:rtl w:val="0"/>
          <w:lang w:val="fr-FR"/>
        </w:rPr>
        <w:t>June 14, 2021</w:t>
      </w:r>
      <w:r>
        <w:rPr>
          <w:rStyle w:val="None"/>
          <w:rFonts w:cs="Arial Unicode MS" w:eastAsia="Arial Unicode MS"/>
          <w:rtl w:val="0"/>
          <w:lang w:val="en-US"/>
        </w:rPr>
        <w:t>.</w:t>
      </w:r>
    </w:p>
  </w:footnote>
  <w:footnote w:id="4">
    <w:p>
      <w:pPr>
        <w:pStyle w:val="Footnote"/>
      </w:pPr>
      <w:r>
        <w:rPr>
          <w:rStyle w:val="None"/>
          <w:sz w:val="26"/>
          <w:szCs w:val="26"/>
          <w:u w:color="000000"/>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14:textOutline w14:w="12700" w14:cap="flat">
            <w14:noFill/>
            <w14:miter w14:lim="400000"/>
          </w14:textOutline>
        </w:rPr>
        <w:t xml:space="preserve">DC Water, </w:t>
      </w:r>
      <w:r>
        <w:rPr>
          <w:rStyle w:val="Hyperlink.2"/>
        </w:rPr>
        <w:fldChar w:fldCharType="begin" w:fldLock="0"/>
      </w:r>
      <w:r>
        <w:rPr>
          <w:rStyle w:val="Hyperlink.2"/>
        </w:rPr>
        <w:instrText xml:space="preserve"> HYPERLINK "https://www.dcwater.com/sites/default/files/documents/lfdc_summary_6_7_21x.pdf"</w:instrText>
      </w:r>
      <w:r>
        <w:rPr>
          <w:rStyle w:val="Hyperlink.2"/>
        </w:rPr>
        <w:fldChar w:fldCharType="separate" w:fldLock="0"/>
      </w:r>
      <w:r>
        <w:rPr>
          <w:rStyle w:val="Hyperlink.2"/>
          <w:rFonts w:cs="Arial Unicode MS" w:eastAsia="Arial Unicode MS"/>
          <w:rtl w:val="0"/>
          <w:lang w:val="en-US"/>
        </w:rPr>
        <w:t>Lead Service Line Replacement Plan</w:t>
      </w:r>
      <w:r>
        <w:rPr/>
        <w:fldChar w:fldCharType="end" w:fldLock="0"/>
      </w:r>
      <w:r>
        <w:rPr>
          <w:rStyle w:val="None"/>
          <w:rFonts w:cs="Arial Unicode MS" w:eastAsia="Arial Unicode MS"/>
          <w:rtl w:val="0"/>
          <w:lang w:val="en-US"/>
          <w14:textOutline w14:w="12700" w14:cap="flat">
            <w14:noFill/>
            <w14:miter w14:lim="400000"/>
          </w14:textOutline>
        </w:rPr>
        <w:t>, June 2021, page 10.</w:t>
      </w:r>
    </w:p>
  </w:footnote>
  <w:footnote w:id="5">
    <w:p>
      <w:pPr>
        <w:pStyle w:val="Footnote"/>
      </w:pPr>
      <w:r>
        <w:rPr>
          <w:rStyle w:val="None"/>
          <w:sz w:val="26"/>
          <w:szCs w:val="26"/>
          <w:u w:color="000000"/>
          <w:vertAlign w:val="superscript"/>
          <w:lang w:val="en-US"/>
          <w14:textOutline w14:w="12700" w14:cap="flat">
            <w14:noFill/>
            <w14:miter w14:lim="400000"/>
          </w14:textOutline>
        </w:rPr>
        <w:footnoteRef/>
      </w:r>
      <w:r>
        <w:rPr>
          <w:rStyle w:val="None"/>
          <w:rFonts w:cs="Arial Unicode MS" w:eastAsia="Arial Unicode MS"/>
          <w:u w:color="000000"/>
          <w:rtl w:val="0"/>
          <w14:textOutline w14:w="12700" w14:cap="flat">
            <w14:noFill/>
            <w14:miter w14:lim="400000"/>
          </w14:textOutline>
        </w:rPr>
        <w:t xml:space="preserve"> </w:t>
      </w:r>
      <w:r>
        <w:rPr>
          <w:rStyle w:val="Hyperlink.3"/>
        </w:rPr>
        <w:fldChar w:fldCharType="begin" w:fldLock="0"/>
      </w:r>
      <w:r>
        <w:rPr>
          <w:rStyle w:val="Hyperlink.3"/>
        </w:rPr>
        <w:instrText xml:space="preserve"> HYPERLINK "https://static1.squarespace.com/static/598a7bcd197aea4997a27748/t/619b9e27de4b5577eccbbd83/1637588524105/Cost+to+Replace+Lead+Service+Lines_Safe+Water+Engineering+2021+Final.pdf"</w:instrText>
      </w:r>
      <w:r>
        <w:rPr>
          <w:rStyle w:val="Hyperlink.3"/>
        </w:rPr>
        <w:fldChar w:fldCharType="separate" w:fldLock="0"/>
      </w:r>
      <w:r>
        <w:rPr>
          <w:rStyle w:val="Hyperlink.3"/>
          <w:rFonts w:cs="Arial Unicode MS" w:eastAsia="Arial Unicode MS"/>
          <w:rtl w:val="0"/>
        </w:rPr>
        <w:t>F</w:t>
      </w:r>
      <w:r>
        <w:rPr>
          <w:rStyle w:val="Hyperlink.2"/>
          <w:rFonts w:cs="Arial Unicode MS" w:eastAsia="Arial Unicode MS"/>
          <w:rtl w:val="0"/>
          <w:lang w:val="en-US"/>
        </w:rPr>
        <w:t>inishing the Job of Getting Safe Water to the Tap: How Much Does it Cost to Replace Lead Service Lines?</w:t>
      </w:r>
      <w:r>
        <w:rPr/>
        <w:fldChar w:fldCharType="end" w:fldLock="0"/>
      </w:r>
      <w:r>
        <w:rPr>
          <w:rStyle w:val="None"/>
          <w:rFonts w:cs="Arial Unicode MS" w:eastAsia="Arial Unicode MS"/>
          <w:u w:color="000000"/>
          <w:rtl w:val="0"/>
          <w:lang w:val="en-US"/>
          <w14:textOutline w14:w="12700" w14:cap="flat">
            <w14:noFill/>
            <w14:miter w14:lim="400000"/>
          </w14:textOutline>
        </w:rPr>
        <w:t xml:space="preserve">, </w:t>
      </w:r>
      <w:r>
        <w:rPr>
          <w:rStyle w:val="None"/>
          <w:rFonts w:cs="Arial Unicode MS" w:eastAsia="Arial Unicode MS"/>
          <w:u w:color="000000"/>
          <w:rtl w:val="0"/>
          <w:lang w:val="de-DE"/>
          <w14:textOutline w14:w="12700" w14:cap="flat">
            <w14:noFill/>
            <w14:miter w14:lim="400000"/>
          </w14:textOutline>
        </w:rPr>
        <w:t>Elin Warn Betanzo, Safe Water Engineering, LLC</w:t>
      </w:r>
      <w:r>
        <w:rPr>
          <w:rStyle w:val="None"/>
          <w:rFonts w:cs="Arial Unicode MS" w:eastAsia="Arial Unicode MS"/>
          <w:u w:color="000000"/>
          <w:rtl w:val="0"/>
          <w:lang w:val="en-US"/>
          <w14:textOutline w14:w="12700" w14:cap="flat">
            <w14:noFill/>
            <w14:miter w14:lim="400000"/>
          </w14:textOutline>
        </w:rPr>
        <w:t>, October 2021, page 16.</w:t>
      </w:r>
    </w:p>
  </w:footnote>
  <w:footnote w:id="6">
    <w:p>
      <w:pPr>
        <w:pStyle w:val="Footnote"/>
      </w:pPr>
      <w:r>
        <w:rPr>
          <w:rStyle w:val="None"/>
          <w:sz w:val="26"/>
          <w:szCs w:val="26"/>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Hyperlink.1"/>
        </w:rPr>
        <w:fldChar w:fldCharType="begin" w:fldLock="0"/>
      </w:r>
      <w:r>
        <w:rPr>
          <w:rStyle w:val="Hyperlink.1"/>
        </w:rPr>
        <w:instrText xml:space="preserve"> HYPERLINK "https://app.box.com/s/6kxbhwu48ks067yxklun0cyids7h4bnw"</w:instrText>
      </w:r>
      <w:r>
        <w:rPr>
          <w:rStyle w:val="Hyperlink.1"/>
        </w:rPr>
        <w:fldChar w:fldCharType="separate" w:fldLock="0"/>
      </w:r>
      <w:r>
        <w:rPr>
          <w:rStyle w:val="Hyperlink.1"/>
          <w:rFonts w:cs="Arial Unicode MS" w:eastAsia="Arial Unicode MS"/>
          <w:rtl w:val="0"/>
          <w:lang w:val="en-US"/>
        </w:rPr>
        <w:t>Proposed Budget</w:t>
      </w:r>
      <w:r>
        <w:rPr/>
        <w:fldChar w:fldCharType="end" w:fldLock="0"/>
      </w:r>
      <w:r>
        <w:rPr>
          <w:rStyle w:val="None"/>
          <w:rFonts w:cs="Arial Unicode MS" w:eastAsia="Arial Unicode MS"/>
          <w:rtl w:val="0"/>
          <w:lang w:val="en-US"/>
        </w:rPr>
        <w:t>, page F-25. This proposed federal allocation for FY 2023 is less than the $15 million that the Mayor proposed in DOEE</w:t>
      </w:r>
      <w:r>
        <w:rPr>
          <w:rStyle w:val="None"/>
          <w:rFonts w:cs="Arial Unicode MS" w:eastAsia="Arial Unicode MS" w:hint="default"/>
          <w:rtl w:val="0"/>
          <w:lang w:val="en-US"/>
        </w:rPr>
        <w:t>’</w:t>
      </w:r>
      <w:r>
        <w:rPr>
          <w:rStyle w:val="None"/>
          <w:rFonts w:cs="Arial Unicode MS" w:eastAsia="Arial Unicode MS"/>
          <w:rtl w:val="0"/>
          <w:lang w:val="en-US"/>
        </w:rPr>
        <w:t xml:space="preserve">s FY 2022 budget. The approved budget reallocated these funds for other purposes. </w:t>
      </w:r>
      <w:r>
        <w:rPr>
          <w:rStyle w:val="Hyperlink.1"/>
        </w:rPr>
        <w:fldChar w:fldCharType="begin" w:fldLock="0"/>
      </w:r>
      <w:r>
        <w:rPr>
          <w:rStyle w:val="Hyperlink.1"/>
        </w:rPr>
        <w:instrText xml:space="preserve"> HYPERLINK "https://dcgov.app.box.com/s/d1i9ucek7s85n84vo9sw3p33nxwi1iiw"</w:instrText>
      </w:r>
      <w:r>
        <w:rPr>
          <w:rStyle w:val="Hyperlink.1"/>
        </w:rPr>
        <w:fldChar w:fldCharType="separate" w:fldLock="0"/>
      </w:r>
      <w:r>
        <w:rPr>
          <w:rStyle w:val="Hyperlink.1"/>
          <w:rFonts w:cs="Arial Unicode MS" w:eastAsia="Arial Unicode MS" w:hint="default"/>
          <w:rtl w:val="0"/>
          <w:lang w:val="en-US"/>
        </w:rPr>
        <w:t>“</w:t>
      </w:r>
      <w:r>
        <w:rPr>
          <w:rStyle w:val="Hyperlink.1"/>
          <w:rFonts w:cs="Arial Unicode MS" w:eastAsia="Arial Unicode MS"/>
          <w:rtl w:val="0"/>
          <w:lang w:val="en-US"/>
        </w:rPr>
        <w:t>FY 2022 Approved Budget and Financial Plan,</w:t>
      </w:r>
      <w:r>
        <w:rPr>
          <w:rStyle w:val="Hyperlink.1"/>
          <w:rFonts w:cs="Arial Unicode MS" w:eastAsia="Arial Unicode MS" w:hint="default"/>
          <w:rtl w:val="0"/>
          <w:lang w:val="en-US"/>
        </w:rPr>
        <w:t xml:space="preserve">” </w:t>
      </w:r>
      <w:r>
        <w:rPr>
          <w:rStyle w:val="Hyperlink.1"/>
          <w:rFonts w:cs="Arial Unicode MS" w:eastAsia="Arial Unicode MS"/>
          <w:rtl w:val="0"/>
          <w:lang w:val="en-US"/>
        </w:rPr>
        <w:t xml:space="preserve">September 17, 2021, Volume 4, Agency Budget Chapters </w:t>
      </w:r>
      <w:r>
        <w:rPr>
          <w:rStyle w:val="Hyperlink.1"/>
          <w:rFonts w:cs="Arial Unicode MS" w:eastAsia="Arial Unicode MS" w:hint="default"/>
          <w:rtl w:val="0"/>
          <w:lang w:val="en-US"/>
        </w:rPr>
        <w:t xml:space="preserve">— </w:t>
      </w:r>
      <w:r>
        <w:rPr>
          <w:rStyle w:val="Hyperlink.1"/>
          <w:rFonts w:cs="Arial Unicode MS" w:eastAsia="Arial Unicode MS"/>
          <w:rtl w:val="0"/>
          <w:lang w:val="en-US"/>
        </w:rPr>
        <w:t>Part III</w:t>
      </w:r>
      <w:r>
        <w:rPr/>
        <w:fldChar w:fldCharType="end" w:fldLock="0"/>
      </w:r>
      <w:r>
        <w:rPr>
          <w:rStyle w:val="None"/>
          <w:rFonts w:cs="Arial Unicode MS" w:eastAsia="Arial Unicode MS"/>
          <w:rtl w:val="0"/>
          <w:lang w:val="en-US"/>
        </w:rPr>
        <w:t xml:space="preserve">, page F-31. </w:t>
      </w:r>
    </w:p>
  </w:footnote>
  <w:footnote w:id="7">
    <w:p>
      <w:pPr>
        <w:pStyle w:val="Footnote"/>
      </w:pPr>
      <w:r>
        <w:rPr>
          <w:rStyle w:val="None"/>
          <w:sz w:val="26"/>
          <w:szCs w:val="26"/>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w:t>
      </w:r>
      <w:r>
        <w:rPr>
          <w:rStyle w:val="Hyperlink.1"/>
        </w:rPr>
        <w:fldChar w:fldCharType="begin" w:fldLock="0"/>
      </w:r>
      <w:r>
        <w:rPr>
          <w:rStyle w:val="Hyperlink.1"/>
        </w:rPr>
        <w:instrText xml:space="preserve"> HYPERLINK "https://www.dcwater.com/sites/default/files/documents/284th%2520Meeting%2520of%2520BOD-%252003-03-22%2520v2-%2520website.pdf"</w:instrText>
      </w:r>
      <w:r>
        <w:rPr>
          <w:rStyle w:val="Hyperlink.1"/>
        </w:rPr>
        <w:fldChar w:fldCharType="separate" w:fldLock="0"/>
      </w:r>
      <w:r>
        <w:rPr>
          <w:rStyle w:val="Hyperlink.1"/>
          <w:rFonts w:cs="Arial Unicode MS" w:eastAsia="Arial Unicode MS"/>
          <w:rtl w:val="0"/>
          <w:lang w:val="en-US"/>
        </w:rPr>
        <w:t>DC Water Board of Directors Meeting</w:t>
      </w:r>
      <w:r>
        <w:rPr/>
        <w:fldChar w:fldCharType="end" w:fldLock="0"/>
      </w:r>
      <w:r>
        <w:rPr>
          <w:rStyle w:val="None"/>
          <w:rFonts w:cs="Arial Unicode MS" w:eastAsia="Arial Unicode MS"/>
          <w:rtl w:val="0"/>
          <w:lang w:val="en-US"/>
        </w:rPr>
        <w:t xml:space="preserve">, March 3, 2022. page 25. </w:t>
      </w:r>
    </w:p>
  </w:footnote>
  <w:footnote w:id="8">
    <w:p>
      <w:pPr>
        <w:pStyle w:val="Footnote"/>
      </w:pPr>
      <w:r>
        <w:rPr>
          <w:rStyle w:val="None"/>
          <w:sz w:val="26"/>
          <w:szCs w:val="26"/>
          <w:vertAlign w:val="superscript"/>
          <w:lang w:val="en-US"/>
          <w14:textOutline w14:w="12700" w14:cap="flat">
            <w14:noFill/>
            <w14:miter w14:lim="400000"/>
          </w14:textOutline>
        </w:rPr>
        <w:footnoteRef/>
      </w:r>
      <w:r>
        <w:rPr>
          <w:rStyle w:val="None"/>
          <w:rFonts w:cs="Arial Unicode MS" w:eastAsia="Arial Unicode MS"/>
          <w:rtl w:val="0"/>
        </w:rPr>
        <w:t xml:space="preserve"> </w:t>
      </w:r>
      <w:r>
        <w:rPr>
          <w:rStyle w:val="None"/>
          <w:rFonts w:cs="Arial Unicode MS" w:eastAsia="Arial Unicode MS"/>
          <w:rtl w:val="0"/>
          <w:lang w:val="en-US"/>
        </w:rPr>
        <w:t xml:space="preserve">See City of Newark Code Title XVI, ch. 16:23, </w:t>
      </w:r>
      <w:r>
        <w:rPr>
          <w:rStyle w:val="Hyperlink.1"/>
        </w:rPr>
        <w:fldChar w:fldCharType="begin" w:fldLock="0"/>
      </w:r>
      <w:r>
        <w:rPr>
          <w:rStyle w:val="Hyperlink.1"/>
        </w:rPr>
        <w:instrText xml:space="preserve"> HYPERLINK "https://ecode360.com/36709585?noresponsive=false%2336709585"</w:instrText>
      </w:r>
      <w:r>
        <w:rPr>
          <w:rStyle w:val="Hyperlink.1"/>
        </w:rPr>
        <w:fldChar w:fldCharType="separate" w:fldLock="0"/>
      </w:r>
      <w:r>
        <w:rPr>
          <w:rStyle w:val="Hyperlink.1"/>
          <w:rFonts w:cs="Arial Unicode MS" w:eastAsia="Arial Unicode MS"/>
          <w:rtl w:val="0"/>
          <w:lang w:val="en-US"/>
        </w:rPr>
        <w:t>Mandatory Replacement of Lead Service Lines</w:t>
      </w:r>
      <w:r>
        <w:rPr/>
        <w:fldChar w:fldCharType="end" w:fldLock="0"/>
      </w:r>
      <w:r>
        <w:rPr>
          <w:rStyle w:val="None"/>
          <w:rFonts w:cs="Arial Unicode MS" w:eastAsia="Arial Unicode MS"/>
          <w:rtl w:val="0"/>
          <w:lang w:val="en-US"/>
        </w:rPr>
        <w:t xml:space="preserve">. </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Arial" w:cs="Arial" w:hAnsi="Arial" w:eastAsia="Arial"/>
      <w:outline w:val="0"/>
      <w:color w:val="000000"/>
      <w:sz w:val="18"/>
      <w:szCs w:val="18"/>
      <w:u w:val="none" w:color="000000"/>
      <w:lang w:val="en-US"/>
      <w14:textOutline w14:w="12700" w14:cap="flat">
        <w14:noFill/>
        <w14:miter w14:lim="400000"/>
      </w14:textOutline>
      <w14:textFill>
        <w14:solidFill>
          <w14:srgbClr w14:val="000000"/>
        </w14:solidFill>
      </w14:textFill>
    </w:rPr>
  </w:style>
  <w:style w:type="paragraph" w:styleId="Footnote">
    <w:name w:val="Footnote"/>
    <w:next w:val="Footnot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Hyperlink.1">
    <w:name w:val="Hyperlink.1"/>
    <w:basedOn w:val="None"/>
    <w:next w:val="Hyperlink.1"/>
    <w:rPr>
      <w:u w:val="single"/>
      <w:lang w:val="en-US"/>
    </w:rPr>
  </w:style>
  <w:style w:type="character" w:styleId="Hyperlink.2">
    <w:name w:val="Hyperlink.2"/>
    <w:basedOn w:val="None"/>
    <w:next w:val="Hyperlink.2"/>
    <w:rPr>
      <w:u w:val="single" w:color="000000"/>
      <w:lang w:val="en-US"/>
      <w14:textOutline w14:w="12700" w14:cap="flat">
        <w14:noFill/>
        <w14:miter w14:lim="400000"/>
      </w14:textOutline>
    </w:rPr>
  </w:style>
  <w:style w:type="character" w:styleId="Hyperlink.3">
    <w:name w:val="Hyperlink.3"/>
    <w:basedOn w:val="None"/>
    <w:next w:val="Hyperlink.3"/>
    <w:rPr>
      <w:u w:val="single" w:color="000000"/>
      <w14:textOutline w14:w="12700" w14:cap="flat">
        <w14:noFill/>
        <w14:miter w14:lim="400000"/>
      </w14:textOut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