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0F38" w14:textId="77777777" w:rsidR="005869FD" w:rsidRDefault="005E0CA0">
      <w:pPr>
        <w:pStyle w:val="Default"/>
        <w:jc w:val="center"/>
        <w:rPr>
          <w:rFonts w:ascii="Arial" w:hAnsi="Arial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noProof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553C9408" wp14:editId="1007CE0D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31A9C3" w14:textId="77777777" w:rsidR="005869FD" w:rsidRDefault="005869FD">
      <w:pPr>
        <w:pStyle w:val="Default"/>
        <w:jc w:val="center"/>
        <w:rPr>
          <w:rFonts w:ascii="Arial" w:hAnsi="Arial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4A968D" w14:textId="77777777" w:rsidR="005869FD" w:rsidRDefault="005E0CA0">
      <w:pPr>
        <w:pStyle w:val="Default"/>
        <w:spacing w:after="40"/>
        <w:jc w:val="center"/>
        <w:rPr>
          <w:rFonts w:ascii="Arial" w:eastAsia="Arial" w:hAnsi="Arial" w:cs="Arial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Government of the District of Columbia</w:t>
      </w:r>
    </w:p>
    <w:p w14:paraId="4D7E6A9A" w14:textId="77777777" w:rsidR="005869FD" w:rsidRDefault="005E0CA0">
      <w:pPr>
        <w:pStyle w:val="Default"/>
        <w:spacing w:after="60"/>
        <w:jc w:val="center"/>
        <w:rPr>
          <w:rFonts w:ascii="Arial" w:eastAsia="Arial" w:hAnsi="Arial" w:cs="Arial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ADVISORY</w:t>
      </w:r>
      <w:r>
        <w:rPr>
          <w:rFonts w:ascii="Arial" w:hAnsi="Arial"/>
          <w:b/>
          <w:bCs/>
          <w:sz w:val="32"/>
          <w:szCs w:val="3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NEIGHBORHOOD COMMISSION</w:t>
      </w:r>
      <w:r>
        <w:rPr>
          <w:rFonts w:ascii="Arial" w:hAnsi="Arial"/>
          <w:b/>
          <w:bCs/>
          <w:sz w:val="32"/>
          <w:szCs w:val="3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3/4G  </w:t>
      </w:r>
    </w:p>
    <w:p w14:paraId="05CC6573" w14:textId="77777777" w:rsidR="005869FD" w:rsidRDefault="005E0CA0">
      <w:pPr>
        <w:pStyle w:val="Default"/>
        <w:spacing w:after="80"/>
        <w:jc w:val="center"/>
        <w:rPr>
          <w:rFonts w:ascii="Arial" w:eastAsia="Arial" w:hAnsi="Arial" w:cs="Arial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Chevy</w:t>
      </w:r>
      <w:proofErr w:type="spellEnd"/>
      <w:r>
        <w:rPr>
          <w:rFonts w:ascii="Arial" w:hAnsi="Arial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Chase, Barnaby Woods, Hawthorne</w:t>
      </w:r>
    </w:p>
    <w:p w14:paraId="0D5C958B" w14:textId="77777777" w:rsidR="005869FD" w:rsidRDefault="005E0CA0">
      <w:pPr>
        <w:pStyle w:val="Default"/>
        <w:spacing w:after="40"/>
        <w:ind w:left="540" w:hanging="540"/>
        <w:jc w:val="center"/>
        <w:rPr>
          <w:rFonts w:ascii="Arial" w:eastAsia="Arial" w:hAnsi="Arial" w:cs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5601 Connecticut Avenue N.W.  P.O. Box 6252 Washington, D.C. 20015</w:t>
      </w:r>
    </w:p>
    <w:p w14:paraId="33E1A1C8" w14:textId="660F62C9" w:rsidR="005869FD" w:rsidRDefault="005E0CA0">
      <w:pPr>
        <w:pStyle w:val="Default"/>
        <w:spacing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3G@anc.dc.gov </w:t>
      </w:r>
      <w:r w:rsidR="00692D4C">
        <w:rPr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|</w:t>
      </w:r>
      <w:r>
        <w:rPr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7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92D4C"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|</w:t>
      </w:r>
      <w:r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YouTube: ANC3G </w:t>
      </w:r>
      <w:r w:rsidR="00692D4C"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|</w:t>
      </w:r>
      <w:r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Office: 202.363.5803</w:t>
      </w:r>
    </w:p>
    <w:p w14:paraId="7208368B" w14:textId="77777777" w:rsidR="005869FD" w:rsidRDefault="005869FD">
      <w:pPr>
        <w:pStyle w:val="Default"/>
        <w:jc w:val="center"/>
        <w:rPr>
          <w:rStyle w:val="None"/>
          <w:rFonts w:ascii="Arial" w:eastAsia="Arial" w:hAnsi="Arial" w:cs="Arial"/>
          <w:sz w:val="16"/>
          <w:szCs w:val="1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2157E0" w14:textId="77777777" w:rsidR="005869FD" w:rsidRDefault="005869FD">
      <w:pPr>
        <w:pStyle w:val="Default"/>
        <w:jc w:val="center"/>
        <w:rPr>
          <w:rStyle w:val="None"/>
          <w:rFonts w:ascii="Arial" w:eastAsia="Arial" w:hAnsi="Arial" w:cs="Arial"/>
          <w:sz w:val="16"/>
          <w:szCs w:val="1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34FD12" w14:textId="77777777" w:rsidR="005869FD" w:rsidRDefault="005E0CA0">
      <w:pPr>
        <w:pStyle w:val="Default"/>
        <w:spacing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COMMISSIONERS</w:t>
      </w:r>
    </w:p>
    <w:p w14:paraId="3DDD8D6E" w14:textId="77777777" w:rsidR="005869FD" w:rsidRDefault="005E0CA0">
      <w:pPr>
        <w:pStyle w:val="Default"/>
        <w:spacing w:after="20"/>
        <w:jc w:val="center"/>
        <w:rPr>
          <w:rStyle w:val="None"/>
          <w:rFonts w:ascii="Arial" w:eastAsia="Arial" w:hAnsi="Arial" w:cs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3/4G-01 - Lisa R. Gore, Vice-Chair            3/4G-02 - John Higgins, Treasurer</w:t>
      </w:r>
    </w:p>
    <w:p w14:paraId="77879265" w14:textId="77777777" w:rsidR="005869FD" w:rsidRDefault="005E0CA0">
      <w:pPr>
        <w:pStyle w:val="Default"/>
        <w:spacing w:after="20"/>
        <w:jc w:val="center"/>
        <w:rPr>
          <w:rStyle w:val="None"/>
          <w:rFonts w:ascii="Arial" w:eastAsia="Arial" w:hAnsi="Arial" w:cs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3/4G-03 - R</w:t>
      </w:r>
      <w:r>
        <w:rPr>
          <w:rStyle w:val="None"/>
          <w:rFonts w:ascii="Arial" w:hAnsi="Arial"/>
          <w:sz w:val="18"/>
          <w:szCs w:val="1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andy </w:t>
      </w:r>
      <w:proofErr w:type="spellStart"/>
      <w:r>
        <w:rPr>
          <w:rStyle w:val="None"/>
          <w:rFonts w:ascii="Arial" w:hAnsi="Arial"/>
          <w:sz w:val="18"/>
          <w:szCs w:val="1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Speck</w:t>
      </w:r>
      <w:proofErr w:type="spellEnd"/>
      <w:r>
        <w:rPr>
          <w:rStyle w:val="None"/>
          <w:rFonts w:ascii="Arial" w:hAnsi="Arial"/>
          <w:sz w:val="18"/>
          <w:szCs w:val="1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Chair</w:t>
      </w:r>
      <w:r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3/4G-04 - Michael Zeldin            3/4G-05 - Connie K. N. Chang</w:t>
      </w:r>
    </w:p>
    <w:p w14:paraId="270819F0" w14:textId="77777777" w:rsidR="005869FD" w:rsidRDefault="005E0CA0">
      <w:pPr>
        <w:pStyle w:val="Default"/>
        <w:spacing w:after="20"/>
        <w:jc w:val="center"/>
        <w:rPr>
          <w:rStyle w:val="None"/>
          <w:rFonts w:ascii="Arial" w:eastAsia="Arial" w:hAnsi="Arial" w:cs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3/4G-07 - </w:t>
      </w:r>
      <w:proofErr w:type="spellStart"/>
      <w:r>
        <w:rPr>
          <w:rStyle w:val="None"/>
          <w:rFonts w:ascii="Arial" w:hAnsi="Arial"/>
          <w:sz w:val="18"/>
          <w:szCs w:val="1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  <w:proofErr w:type="spellEnd"/>
      <w:r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arles </w:t>
      </w:r>
      <w:proofErr w:type="spellStart"/>
      <w:r>
        <w:rPr>
          <w:rStyle w:val="None"/>
          <w:rFonts w:ascii="Arial" w:hAnsi="Arial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Cadwell</w:t>
      </w:r>
      <w:proofErr w:type="spellEnd"/>
    </w:p>
    <w:p w14:paraId="7CD7DFBB" w14:textId="77777777" w:rsidR="005869FD" w:rsidRDefault="005869FD">
      <w:pPr>
        <w:pStyle w:val="Default"/>
        <w:spacing w:after="20"/>
        <w:jc w:val="center"/>
        <w:rPr>
          <w:rStyle w:val="None"/>
          <w:rFonts w:ascii="Arial" w:eastAsia="Arial" w:hAnsi="Arial" w:cs="Arial"/>
          <w:sz w:val="18"/>
          <w:szCs w:val="1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AEF715" w14:textId="77777777" w:rsidR="005869FD" w:rsidRDefault="005E0CA0">
      <w:pPr>
        <w:pStyle w:val="Default"/>
        <w:spacing w:after="20"/>
        <w:rPr>
          <w:sz w:val="28"/>
          <w:szCs w:val="2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</w:t>
      </w:r>
      <w:r>
        <w:rPr>
          <w:rStyle w:val="None"/>
          <w:rFonts w:ascii="Arial" w:hAnsi="Arial"/>
          <w:sz w:val="22"/>
          <w:szCs w:val="2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</w:t>
      </w:r>
    </w:p>
    <w:p w14:paraId="534994B4" w14:textId="77777777" w:rsidR="005869FD" w:rsidRDefault="005869FD">
      <w:pPr>
        <w:pStyle w:val="Body"/>
        <w:rPr>
          <w:rFonts w:ascii="Helvetica Neue" w:eastAsia="Helvetica Neue" w:hAnsi="Helvetica Neue" w:cs="Helvetica Neue"/>
          <w:sz w:val="22"/>
          <w:szCs w:val="22"/>
        </w:rPr>
      </w:pPr>
    </w:p>
    <w:p w14:paraId="48DAA072" w14:textId="77777777" w:rsidR="005869FD" w:rsidRDefault="005E0CA0">
      <w:pPr>
        <w:pStyle w:val="Body"/>
        <w:jc w:val="center"/>
        <w:rPr>
          <w:b/>
          <w:bCs/>
        </w:rPr>
      </w:pPr>
      <w:r>
        <w:rPr>
          <w:b/>
          <w:bCs/>
        </w:rPr>
        <w:t>ANC 3/4G Testimony Before the</w:t>
      </w:r>
    </w:p>
    <w:p w14:paraId="064A1FAB" w14:textId="77777777" w:rsidR="005869FD" w:rsidRDefault="005E0CA0">
      <w:pPr>
        <w:pStyle w:val="Body"/>
        <w:jc w:val="center"/>
        <w:rPr>
          <w:b/>
          <w:bCs/>
        </w:rPr>
      </w:pPr>
      <w:r>
        <w:rPr>
          <w:b/>
          <w:bCs/>
        </w:rPr>
        <w:t>Committee on Housing and Neighborhood Revitalization</w:t>
      </w:r>
    </w:p>
    <w:p w14:paraId="64AD85F6" w14:textId="61438274" w:rsidR="005869FD" w:rsidRDefault="005E0CA0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FY 2023 </w:t>
      </w:r>
      <w:r>
        <w:rPr>
          <w:b/>
          <w:bCs/>
        </w:rPr>
        <w:t>Budget Hearing on the</w:t>
      </w:r>
    </w:p>
    <w:p w14:paraId="6FF919F6" w14:textId="77777777" w:rsidR="005869FD" w:rsidRDefault="005E0CA0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Department of Aging </w:t>
      </w:r>
      <w:r>
        <w:rPr>
          <w:b/>
          <w:bCs/>
        </w:rPr>
        <w:t>and Community Living</w:t>
      </w:r>
    </w:p>
    <w:p w14:paraId="4265EC47" w14:textId="77777777" w:rsidR="005869FD" w:rsidRDefault="005E0CA0">
      <w:pPr>
        <w:pStyle w:val="Body"/>
        <w:jc w:val="center"/>
        <w:rPr>
          <w:b/>
          <w:bCs/>
        </w:rPr>
      </w:pPr>
      <w:r>
        <w:rPr>
          <w:b/>
          <w:bCs/>
        </w:rPr>
        <w:t>March 23, 2022</w:t>
      </w:r>
    </w:p>
    <w:p w14:paraId="5B2627A6" w14:textId="77777777" w:rsidR="005869FD" w:rsidRDefault="005869FD">
      <w:pPr>
        <w:pStyle w:val="Body"/>
        <w:jc w:val="center"/>
        <w:rPr>
          <w:b/>
          <w:bCs/>
        </w:rPr>
      </w:pPr>
    </w:p>
    <w:p w14:paraId="61CBEC8F" w14:textId="77777777" w:rsidR="005869FD" w:rsidRDefault="005E0CA0">
      <w:pPr>
        <w:pStyle w:val="Body"/>
        <w:spacing w:line="480" w:lineRule="auto"/>
        <w:ind w:firstLine="720"/>
        <w:rPr>
          <w:rStyle w:val="None"/>
        </w:rPr>
      </w:pPr>
      <w:r>
        <w:rPr>
          <w:rStyle w:val="None"/>
        </w:rPr>
        <w:t>Chairperson Bonds and members of the Committee on Housing and Neighborhood Revitalization, I am Randy Speck, Chair of ANC 3/4G (Chevy Chase),</w:t>
      </w:r>
      <w:r>
        <w:t xml:space="preserve"> </w:t>
      </w:r>
      <w:r>
        <w:rPr>
          <w:rStyle w:val="None"/>
        </w:rPr>
        <w:t xml:space="preserve">and I am testifying on behalf of our Commission, which authorized this </w:t>
      </w:r>
      <w:r>
        <w:rPr>
          <w:rStyle w:val="None"/>
        </w:rPr>
        <w:t xml:space="preserve">testimony at its March 14, </w:t>
      </w:r>
      <w:proofErr w:type="gramStart"/>
      <w:r>
        <w:rPr>
          <w:rStyle w:val="None"/>
        </w:rPr>
        <w:t>2022</w:t>
      </w:r>
      <w:proofErr w:type="gramEnd"/>
      <w:r>
        <w:rPr>
          <w:rStyle w:val="None"/>
        </w:rPr>
        <w:t xml:space="preserve"> meeting by a vote of 6 to 0 (a quorum being 4).</w:t>
      </w:r>
      <w:r>
        <w:rPr>
          <w:rStyle w:val="None"/>
          <w:vertAlign w:val="superscript"/>
        </w:rPr>
        <w:footnoteReference w:id="2"/>
      </w:r>
    </w:p>
    <w:p w14:paraId="673F214F" w14:textId="77777777" w:rsidR="005869FD" w:rsidRDefault="005E0CA0">
      <w:pPr>
        <w:pStyle w:val="Body"/>
        <w:spacing w:line="480" w:lineRule="auto"/>
        <w:ind w:firstLine="720"/>
      </w:pPr>
      <w:r>
        <w:t xml:space="preserve">ANC 3/4G has long advocated for a brick-and-mortar senior wellness center in Ward 3. The Commission’s June 27, 2016 </w:t>
      </w:r>
      <w:hyperlink r:id="rId8" w:history="1">
        <w:r>
          <w:rPr>
            <w:rStyle w:val="Hyperlink1"/>
          </w:rPr>
          <w:t>resolution</w:t>
        </w:r>
      </w:hyperlink>
      <w:r>
        <w:t xml:space="preserve"> called on the Mayor, the DC Office on Aging, the Department of Parks and Recreation, and the Councilmembers representing Wards 3 and 4 “to establish a fully-funded senior wellness center for Wards 3 a</w:t>
      </w:r>
      <w:r>
        <w:t xml:space="preserve">nd 4 West </w:t>
      </w:r>
      <w:r>
        <w:lastRenderedPageBreak/>
        <w:t>of Rock Creek Park by 2017.” Regrettably, our seniors continue to be underserved without a physical senior wellness center that is reasonably accessible to them.</w:t>
      </w:r>
    </w:p>
    <w:p w14:paraId="7BEDBB19" w14:textId="77777777" w:rsidR="005869FD" w:rsidRDefault="005E0CA0">
      <w:pPr>
        <w:pStyle w:val="Body"/>
        <w:spacing w:line="480" w:lineRule="auto"/>
        <w:ind w:firstLine="720"/>
      </w:pPr>
      <w:r>
        <w:t xml:space="preserve">The </w:t>
      </w:r>
      <w:hyperlink r:id="rId9" w:history="1">
        <w:r>
          <w:rPr>
            <w:rStyle w:val="Hyperlink1"/>
          </w:rPr>
          <w:t>District Depar</w:t>
        </w:r>
        <w:r>
          <w:rPr>
            <w:rStyle w:val="Hyperlink1"/>
          </w:rPr>
          <w:t>tment of Aging and Community Living</w:t>
        </w:r>
      </w:hyperlink>
      <w:r>
        <w:t xml:space="preserve"> (DACL) operates six physical senior wellness centers located in Wards 1, 4, 5, 6, 7, and 8. DACL also supports a “virtual” senior wellness center — </w:t>
      </w:r>
      <w:hyperlink r:id="rId10" w:history="1">
        <w:proofErr w:type="spellStart"/>
        <w:r>
          <w:rPr>
            <w:rStyle w:val="Hyperlink1"/>
          </w:rPr>
          <w:t>AroundTownDC</w:t>
        </w:r>
        <w:proofErr w:type="spellEnd"/>
      </w:hyperlink>
      <w:r>
        <w:t xml:space="preserve"> — for Wards </w:t>
      </w:r>
      <w:r>
        <w:t xml:space="preserve">2 and 3. </w:t>
      </w:r>
      <w:proofErr w:type="spellStart"/>
      <w:r>
        <w:t>AroundTownDC</w:t>
      </w:r>
      <w:proofErr w:type="spellEnd"/>
      <w:r>
        <w:t xml:space="preserve"> provides a valuable service by sponsoring activities and connecting seniors to these and other available activities, and the Commission has supported its efforts in February 2020 </w:t>
      </w:r>
      <w:hyperlink r:id="rId11" w:history="1">
        <w:r>
          <w:rPr>
            <w:rStyle w:val="Hyperlink1"/>
          </w:rPr>
          <w:t>testimony</w:t>
        </w:r>
      </w:hyperlink>
      <w:r>
        <w:t xml:space="preserve"> before the Council. It does not, however, address seniors’ critical need for a physical place to gather and to receive wellness services.</w:t>
      </w:r>
    </w:p>
    <w:p w14:paraId="6A2FA165" w14:textId="77777777" w:rsidR="005869FD" w:rsidRDefault="005E0CA0">
      <w:pPr>
        <w:pStyle w:val="Body"/>
        <w:spacing w:line="480" w:lineRule="auto"/>
        <w:ind w:firstLine="720"/>
      </w:pPr>
      <w:hyperlink r:id="rId12" w:history="1">
        <w:r>
          <w:rPr>
            <w:rStyle w:val="Hyperlink1"/>
          </w:rPr>
          <w:t>Census data</w:t>
        </w:r>
      </w:hyperlink>
      <w:r>
        <w:t xml:space="preserve"> shows that Ward 3 has a higher concentration of seniors than the rest of the </w:t>
      </w:r>
      <w:proofErr w:type="gramStart"/>
      <w:r>
        <w:t>District</w:t>
      </w:r>
      <w:proofErr w:type="gramEnd"/>
      <w:r>
        <w:t xml:space="preserve"> — about 17% of the Ward 3 residents are age 65 and older compared with about 13</w:t>
      </w:r>
      <w:r>
        <w:t>% District-wide</w:t>
      </w:r>
      <w:r>
        <w:t>. Social isolation is a pr</w:t>
      </w:r>
      <w:r>
        <w:t>oblem for older adults that affects both their physical and mental health and is linked to more rapid</w:t>
      </w:r>
      <w:r>
        <w:rPr>
          <w:lang w:val="it-IT"/>
        </w:rPr>
        <w:t xml:space="preserve"> cognitive </w:t>
      </w:r>
      <w:proofErr w:type="spellStart"/>
      <w:r>
        <w:rPr>
          <w:lang w:val="it-IT"/>
        </w:rPr>
        <w:t>decline</w:t>
      </w:r>
      <w:proofErr w:type="spellEnd"/>
      <w:r>
        <w:t>. More than 58% of DC</w:t>
      </w:r>
      <w:r>
        <w:rPr>
          <w:rtl/>
        </w:rPr>
        <w:t>’</w:t>
      </w:r>
      <w:r>
        <w:t>s older adults live alone,</w:t>
      </w:r>
      <w:r>
        <w:rPr>
          <w:rStyle w:val="None"/>
          <w:vertAlign w:val="superscript"/>
        </w:rPr>
        <w:footnoteReference w:id="3"/>
      </w:r>
      <w:r>
        <w:t xml:space="preserve"> running a greater risk of social isolation. </w:t>
      </w:r>
      <w:proofErr w:type="spellStart"/>
      <w:r>
        <w:rPr>
          <w:lang w:val="pt-PT"/>
        </w:rPr>
        <w:t>Senior</w:t>
      </w:r>
      <w:proofErr w:type="spellEnd"/>
      <w:r>
        <w:rPr>
          <w:lang w:val="pt-PT"/>
        </w:rPr>
        <w:t xml:space="preserve"> </w:t>
      </w:r>
      <w:r>
        <w:t xml:space="preserve">wellness centers are a significant </w:t>
      </w:r>
      <w:r>
        <w:t>element in the District</w:t>
      </w:r>
      <w:r>
        <w:rPr>
          <w:rtl/>
        </w:rPr>
        <w:t>’</w:t>
      </w:r>
      <w:r>
        <w:t>s strategy for addressing this social isolation among older adults. The</w:t>
      </w:r>
      <w:r>
        <w:rPr>
          <w:lang w:val="fr-FR"/>
        </w:rPr>
        <w:t xml:space="preserve"> permanent staff</w:t>
      </w:r>
      <w:r>
        <w:t xml:space="preserve"> at a wellness center can also observe changes in seniors’ health and economic challenges and can provide proactive support that is not available</w:t>
      </w:r>
      <w:r>
        <w:t xml:space="preserve"> on a virtual platform.</w:t>
      </w:r>
    </w:p>
    <w:p w14:paraId="404F8E83" w14:textId="77777777" w:rsidR="005869FD" w:rsidRDefault="005E0CA0">
      <w:pPr>
        <w:pStyle w:val="Body"/>
        <w:spacing w:line="480" w:lineRule="auto"/>
        <w:ind w:firstLine="720"/>
      </w:pPr>
      <w:r>
        <w:t xml:space="preserve">The District’s </w:t>
      </w:r>
      <w:hyperlink r:id="rId13" w:history="1">
        <w:r>
          <w:rPr>
            <w:rStyle w:val="Hyperlink1"/>
          </w:rPr>
          <w:t>Comprehensive Plan Policy Map</w:t>
        </w:r>
      </w:hyperlink>
      <w:r>
        <w:t xml:space="preserve"> designates significant portions of Ward 3 along the Connecticut Avenue and Wi</w:t>
      </w:r>
      <w:r>
        <w:t xml:space="preserve">sconsin Avenue corridors as Future Planning Analysis Areas, and the Office of Planning is currently engaged in detailed planning processes for those corridors in Chevy Chase, Friendship Heights, </w:t>
      </w:r>
      <w:proofErr w:type="spellStart"/>
      <w:r>
        <w:t>Tenleytown</w:t>
      </w:r>
      <w:proofErr w:type="spellEnd"/>
      <w:r>
        <w:t>, Cleveland Park, and Woodley Park.</w:t>
      </w:r>
      <w:r>
        <w:rPr>
          <w:rStyle w:val="None"/>
          <w:vertAlign w:val="superscript"/>
        </w:rPr>
        <w:footnoteReference w:id="4"/>
      </w:r>
      <w:r>
        <w:t xml:space="preserve"> The </w:t>
      </w:r>
      <w:proofErr w:type="spellStart"/>
      <w:r>
        <w:rPr>
          <w:lang w:val="da-DK"/>
        </w:rPr>
        <w:t>Lisner</w:t>
      </w:r>
      <w:proofErr w:type="spellEnd"/>
      <w:r>
        <w:rPr>
          <w:lang w:val="da-DK"/>
        </w:rPr>
        <w:t>-Louise-</w:t>
      </w:r>
      <w:proofErr w:type="spellStart"/>
      <w:r>
        <w:rPr>
          <w:lang w:val="da-DK"/>
        </w:rPr>
        <w:t>Dickson</w:t>
      </w:r>
      <w:proofErr w:type="spellEnd"/>
      <w:r>
        <w:rPr>
          <w:lang w:val="da-DK"/>
        </w:rPr>
        <w:t>-Hurt Home</w:t>
      </w:r>
      <w:r>
        <w:t xml:space="preserve"> is also </w:t>
      </w:r>
      <w:hyperlink r:id="rId14" w:history="1">
        <w:r>
          <w:rPr>
            <w:rStyle w:val="Hyperlink1"/>
          </w:rPr>
          <w:t>planning an expansion</w:t>
        </w:r>
      </w:hyperlink>
      <w:r>
        <w:t xml:space="preserve"> that may include community space. These initiatives can and should include planning for a senior wellness cent</w:t>
      </w:r>
      <w:r>
        <w:t>er.</w:t>
      </w:r>
    </w:p>
    <w:p w14:paraId="471B03DE" w14:textId="77777777" w:rsidR="005869FD" w:rsidRDefault="005E0CA0">
      <w:pPr>
        <w:pStyle w:val="Body"/>
        <w:spacing w:line="480" w:lineRule="auto"/>
        <w:ind w:firstLine="720"/>
      </w:pPr>
      <w:r>
        <w:t>Based on the persistent, acute need for a physical wellness center to serve seniors west of Rock Creek Park, we urge the Council to include at least $100,000 in the FY 2023 budget to conduct an options and visioning study to examine how to build on the</w:t>
      </w:r>
      <w:r>
        <w:t xml:space="preserve"> achievements of </w:t>
      </w:r>
      <w:proofErr w:type="spellStart"/>
      <w:r>
        <w:t>AroundTownDC</w:t>
      </w:r>
      <w:proofErr w:type="spellEnd"/>
      <w:r>
        <w:t xml:space="preserve">, incorporate the strengths of wellness centers in other wards and communities, assess seniors’ transportation needs, and identify potential sites for and the feasibility of a brick-and-mortar senior wellness center located in </w:t>
      </w:r>
      <w:r>
        <w:t>Ward 3. This study should be coordinated with the Office of Planning’s ongoing planning initiatives in Ward 3.</w:t>
      </w:r>
    </w:p>
    <w:p w14:paraId="7270320A" w14:textId="77777777" w:rsidR="005869FD" w:rsidRDefault="005E0CA0">
      <w:pPr>
        <w:pStyle w:val="Body"/>
        <w:spacing w:line="480" w:lineRule="auto"/>
        <w:ind w:firstLine="720"/>
      </w:pPr>
      <w:r>
        <w:rPr>
          <w:rStyle w:val="None"/>
        </w:rPr>
        <w:t>Thank you.</w:t>
      </w:r>
    </w:p>
    <w:sectPr w:rsidR="005869FD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ECD7" w14:textId="77777777" w:rsidR="00000000" w:rsidRDefault="005E0CA0">
      <w:r>
        <w:separator/>
      </w:r>
    </w:p>
  </w:endnote>
  <w:endnote w:type="continuationSeparator" w:id="0">
    <w:p w14:paraId="296CE8E6" w14:textId="77777777" w:rsidR="00000000" w:rsidRDefault="005E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7E17" w14:textId="77777777" w:rsidR="005869FD" w:rsidRDefault="005E0CA0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91E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85B8" w14:textId="77777777" w:rsidR="005869FD" w:rsidRDefault="005E0CA0">
      <w:r>
        <w:separator/>
      </w:r>
    </w:p>
  </w:footnote>
  <w:footnote w:type="continuationSeparator" w:id="0">
    <w:p w14:paraId="4C1B4008" w14:textId="77777777" w:rsidR="005869FD" w:rsidRDefault="005E0CA0">
      <w:r>
        <w:continuationSeparator/>
      </w:r>
    </w:p>
  </w:footnote>
  <w:footnote w:type="continuationNotice" w:id="1">
    <w:p w14:paraId="24551133" w14:textId="77777777" w:rsidR="005869FD" w:rsidRDefault="005869FD"/>
  </w:footnote>
  <w:footnote w:id="2">
    <w:p w14:paraId="6BAD8D45" w14:textId="77777777" w:rsidR="005869FD" w:rsidRPr="00692D4C" w:rsidRDefault="005E0CA0">
      <w:pPr>
        <w:pStyle w:val="Footnote"/>
        <w:rPr>
          <w:sz w:val="22"/>
          <w:szCs w:val="22"/>
        </w:rPr>
      </w:pPr>
      <w:r>
        <w:rPr>
          <w:rStyle w:val="None"/>
          <w:vertAlign w:val="superscript"/>
        </w:rPr>
        <w:footnoteRef/>
      </w:r>
      <w:r>
        <w:t xml:space="preserve"> </w:t>
      </w:r>
      <w:r w:rsidRPr="00692D4C">
        <w:rPr>
          <w:sz w:val="22"/>
          <w:szCs w:val="22"/>
        </w:rPr>
        <w:t xml:space="preserve">This testimony reiterates the Commission’s January 24, 2022 </w:t>
      </w:r>
      <w:hyperlink r:id="rId1" w:history="1">
        <w:r w:rsidRPr="00692D4C">
          <w:rPr>
            <w:rStyle w:val="Hyperlink1"/>
            <w:sz w:val="22"/>
            <w:szCs w:val="22"/>
          </w:rPr>
          <w:t>resolution</w:t>
        </w:r>
      </w:hyperlink>
      <w:r w:rsidRPr="00692D4C">
        <w:rPr>
          <w:sz w:val="22"/>
          <w:szCs w:val="22"/>
        </w:rPr>
        <w:t>.</w:t>
      </w:r>
    </w:p>
  </w:footnote>
  <w:footnote w:id="3">
    <w:p w14:paraId="7C116E8C" w14:textId="77777777" w:rsidR="005869FD" w:rsidRDefault="005E0CA0">
      <w:pPr>
        <w:pStyle w:val="Footnote"/>
      </w:pPr>
      <w:r>
        <w:rPr>
          <w:rStyle w:val="None"/>
          <w:vertAlign w:val="superscript"/>
        </w:rPr>
        <w:footnoteRef/>
      </w:r>
      <w:r>
        <w:t xml:space="preserve"> </w:t>
      </w:r>
      <w:r w:rsidRPr="00692D4C">
        <w:rPr>
          <w:sz w:val="22"/>
          <w:szCs w:val="22"/>
        </w:rPr>
        <w:t>“</w:t>
      </w:r>
      <w:hyperlink r:id="rId2" w:history="1">
        <w:r w:rsidRPr="00692D4C">
          <w:rPr>
            <w:rStyle w:val="Hyperlink1"/>
            <w:sz w:val="22"/>
            <w:szCs w:val="22"/>
          </w:rPr>
          <w:t xml:space="preserve">A </w:t>
        </w:r>
        <w:r w:rsidRPr="00692D4C">
          <w:rPr>
            <w:rStyle w:val="Hyperlink1"/>
            <w:sz w:val="22"/>
            <w:szCs w:val="22"/>
          </w:rPr>
          <w:t>Portrait of D</w:t>
        </w:r>
        <w:r w:rsidRPr="00692D4C">
          <w:rPr>
            <w:rStyle w:val="Hyperlink1"/>
            <w:sz w:val="22"/>
            <w:szCs w:val="22"/>
          </w:rPr>
          <w:t>.C.</w:t>
        </w:r>
        <w:r w:rsidRPr="00692D4C">
          <w:rPr>
            <w:rStyle w:val="Hyperlink1"/>
            <w:sz w:val="22"/>
            <w:szCs w:val="22"/>
            <w:rtl/>
          </w:rPr>
          <w:t>’</w:t>
        </w:r>
        <w:r w:rsidRPr="00692D4C">
          <w:rPr>
            <w:rStyle w:val="Hyperlink1"/>
            <w:sz w:val="22"/>
            <w:szCs w:val="22"/>
          </w:rPr>
          <w:t xml:space="preserve">s </w:t>
        </w:r>
        <w:r w:rsidRPr="00692D4C">
          <w:rPr>
            <w:rStyle w:val="Hyperlink1"/>
            <w:sz w:val="22"/>
            <w:szCs w:val="22"/>
          </w:rPr>
          <w:t>O</w:t>
        </w:r>
        <w:proofErr w:type="spellStart"/>
        <w:r w:rsidRPr="00692D4C">
          <w:rPr>
            <w:rStyle w:val="Hyperlink1"/>
            <w:sz w:val="22"/>
            <w:szCs w:val="22"/>
            <w:lang w:val="da-DK"/>
          </w:rPr>
          <w:t>lder</w:t>
        </w:r>
        <w:proofErr w:type="spellEnd"/>
        <w:r w:rsidRPr="00692D4C">
          <w:rPr>
            <w:rStyle w:val="Hyperlink1"/>
            <w:sz w:val="22"/>
            <w:szCs w:val="22"/>
            <w:lang w:val="da-DK"/>
          </w:rPr>
          <w:t xml:space="preserve"> </w:t>
        </w:r>
        <w:r w:rsidRPr="00692D4C">
          <w:rPr>
            <w:rStyle w:val="Hyperlink1"/>
            <w:sz w:val="22"/>
            <w:szCs w:val="22"/>
          </w:rPr>
          <w:t>A</w:t>
        </w:r>
        <w:r w:rsidRPr="00692D4C">
          <w:rPr>
            <w:rStyle w:val="Hyperlink1"/>
            <w:sz w:val="22"/>
            <w:szCs w:val="22"/>
          </w:rPr>
          <w:t>dults</w:t>
        </w:r>
      </w:hyperlink>
      <w:r w:rsidRPr="00692D4C">
        <w:rPr>
          <w:sz w:val="22"/>
          <w:szCs w:val="22"/>
        </w:rPr>
        <w:t>,” DC Policy Center, June 22, 2018.</w:t>
      </w:r>
    </w:p>
  </w:footnote>
  <w:footnote w:id="4">
    <w:p w14:paraId="43CAF303" w14:textId="77777777" w:rsidR="005869FD" w:rsidRDefault="005E0CA0">
      <w:pPr>
        <w:pStyle w:val="Footnote"/>
      </w:pPr>
      <w:r>
        <w:rPr>
          <w:rStyle w:val="None"/>
          <w:vertAlign w:val="superscript"/>
        </w:rPr>
        <w:footnoteRef/>
      </w:r>
      <w:r>
        <w:t xml:space="preserve"> </w:t>
      </w:r>
      <w:hyperlink r:id="rId3" w:history="1">
        <w:r w:rsidRPr="00692D4C">
          <w:rPr>
            <w:rStyle w:val="Hyperlink1"/>
            <w:sz w:val="22"/>
            <w:szCs w:val="22"/>
          </w:rPr>
          <w:t>Rock Creek West Roadmap</w:t>
        </w:r>
      </w:hyperlink>
      <w:r w:rsidRPr="00692D4C">
        <w:rPr>
          <w:sz w:val="22"/>
          <w:szCs w:val="22"/>
        </w:rPr>
        <w:t>, District Office of Planning, December 16, 20</w:t>
      </w:r>
      <w:r w:rsidRPr="00692D4C">
        <w:rPr>
          <w:sz w:val="22"/>
          <w:szCs w:val="22"/>
        </w:rPr>
        <w:t>21, page 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366E" w14:textId="77777777" w:rsidR="005869FD" w:rsidRDefault="005869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FD"/>
    <w:rsid w:val="005869FD"/>
    <w:rsid w:val="005E0CA0"/>
    <w:rsid w:val="00691E2F"/>
    <w:rsid w:val="006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F0013"/>
  <w15:docId w15:val="{6DDC5E40-971A-CA44-822C-894D60A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eastAsia="Times New Roman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3g.org/wp-content/uploads/2014/09/Senior-Wellness-Center-resolution-2016.pdf" TargetMode="External"/><Relationship Id="rId13" Type="http://schemas.openxmlformats.org/officeDocument/2006/relationships/hyperlink" Target="https://dcgis.maps.arcgis.com/apps/webappviewer/index.html?id=cd1c29c1481f4ddb9cb45490ce16426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c3g.org" TargetMode="External"/><Relationship Id="rId12" Type="http://schemas.openxmlformats.org/officeDocument/2006/relationships/hyperlink" Target="https://www.dchealthmatters.org/demographicdata?id=131490&amp;sectionId=93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nc3g.org/wp-content/uploads/2020/02/ANC-Testimony-Oversight-Hearing-for-DACL-2-25-20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aroundtownd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cl.dc.gov/service/senior-wellness-centers-0" TargetMode="External"/><Relationship Id="rId14" Type="http://schemas.openxmlformats.org/officeDocument/2006/relationships/hyperlink" Target="https://app.dcoz.dc.gov/CaseReport/CaseReportPage.aspx?case_id=21-1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ousing.dc.gov/sites/default/files/dc/sites/housingdc/publication/attachments/RCW%20Roadmap_12.16.21.pdf" TargetMode="External"/><Relationship Id="rId2" Type="http://schemas.openxmlformats.org/officeDocument/2006/relationships/hyperlink" Target="https://www.dcpolicycenter.org/publications/a-portrait-of-d-c-s-older-adults/" TargetMode="External"/><Relationship Id="rId1" Type="http://schemas.openxmlformats.org/officeDocument/2006/relationships/hyperlink" Target="https://anc3g.org/wp-content/uploads/2022/01/ANC-34G-Resolution-on-Ward-3-Senior-Wellness-Center-Final-SIGNED_edited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4</cp:revision>
  <cp:lastPrinted>2022-03-16T14:18:00Z</cp:lastPrinted>
  <dcterms:created xsi:type="dcterms:W3CDTF">2022-03-16T14:15:00Z</dcterms:created>
  <dcterms:modified xsi:type="dcterms:W3CDTF">2022-03-16T14:30:00Z</dcterms:modified>
</cp:coreProperties>
</file>